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A1D52" w14:textId="77777777" w:rsidR="00031785" w:rsidRDefault="00031785" w:rsidP="00031785">
      <w:pPr>
        <w:pStyle w:val="Corpotesto"/>
        <w:spacing w:before="71"/>
        <w:ind w:left="153" w:right="155"/>
        <w:jc w:val="center"/>
      </w:pPr>
      <w:r>
        <w:t>CORVINUS</w:t>
      </w:r>
      <w:r>
        <w:rPr>
          <w:spacing w:val="-2"/>
        </w:rPr>
        <w:t xml:space="preserve"> </w:t>
      </w:r>
      <w:r>
        <w:t>UNIVERSITY</w:t>
      </w:r>
      <w:r>
        <w:rPr>
          <w:spacing w:val="-2"/>
        </w:rPr>
        <w:t xml:space="preserve"> </w:t>
      </w:r>
      <w:r>
        <w:t>OF</w:t>
      </w:r>
      <w:r>
        <w:rPr>
          <w:spacing w:val="-1"/>
        </w:rPr>
        <w:t xml:space="preserve"> </w:t>
      </w:r>
      <w:r>
        <w:rPr>
          <w:spacing w:val="-2"/>
        </w:rPr>
        <w:t>BUDAPEST</w:t>
      </w:r>
    </w:p>
    <w:p w14:paraId="5F60DE65" w14:textId="5FF77AB2" w:rsidR="00031785" w:rsidRDefault="00031785" w:rsidP="00A110FD">
      <w:pPr>
        <w:pStyle w:val="Corpotesto"/>
        <w:ind w:left="0" w:firstLine="0"/>
        <w:jc w:val="left"/>
      </w:pPr>
    </w:p>
    <w:p w14:paraId="342AE82A" w14:textId="6D196381" w:rsidR="00A110FD" w:rsidRDefault="00A110FD" w:rsidP="00A110FD">
      <w:pPr>
        <w:pStyle w:val="Corpotesto"/>
        <w:ind w:left="0" w:firstLine="0"/>
        <w:jc w:val="left"/>
      </w:pPr>
    </w:p>
    <w:p w14:paraId="020B3A50" w14:textId="03C8B8A7" w:rsidR="00A110FD" w:rsidRDefault="00A110FD" w:rsidP="00A110FD">
      <w:pPr>
        <w:pStyle w:val="Corpotesto"/>
        <w:ind w:left="0" w:firstLine="0"/>
        <w:jc w:val="left"/>
      </w:pPr>
    </w:p>
    <w:p w14:paraId="46608AE1" w14:textId="77777777" w:rsidR="00A110FD" w:rsidRDefault="00A110FD" w:rsidP="00A110FD">
      <w:pPr>
        <w:pStyle w:val="Corpotesto"/>
        <w:ind w:left="0" w:firstLine="0"/>
        <w:jc w:val="left"/>
      </w:pPr>
    </w:p>
    <w:p w14:paraId="2240B018" w14:textId="77777777" w:rsidR="00031785" w:rsidRDefault="00031785" w:rsidP="00031785">
      <w:pPr>
        <w:pStyle w:val="Corpotesto"/>
        <w:spacing w:before="5"/>
        <w:ind w:left="0"/>
        <w:jc w:val="left"/>
      </w:pPr>
    </w:p>
    <w:p w14:paraId="75DA5F43" w14:textId="77777777" w:rsidR="00A110FD" w:rsidRDefault="00A110FD" w:rsidP="00031785">
      <w:pPr>
        <w:pStyle w:val="Titolo1"/>
        <w:spacing w:before="0" w:line="237" w:lineRule="auto"/>
        <w:ind w:left="153" w:right="152"/>
        <w:jc w:val="center"/>
      </w:pPr>
    </w:p>
    <w:p w14:paraId="26B055AC" w14:textId="596E41AD" w:rsidR="00031785" w:rsidRDefault="00031785" w:rsidP="00031785">
      <w:pPr>
        <w:pStyle w:val="Titolo1"/>
        <w:spacing w:before="0" w:line="237" w:lineRule="auto"/>
        <w:ind w:left="153" w:right="152"/>
        <w:jc w:val="center"/>
      </w:pPr>
      <w:bookmarkStart w:id="0" w:name="_Toc215742618"/>
      <w:r>
        <w:t>YOU SHALL NOT FORGET WHO PROTECTED YOU!</w:t>
      </w:r>
      <w:bookmarkEnd w:id="0"/>
    </w:p>
    <w:p w14:paraId="55D36FDD" w14:textId="77777777" w:rsidR="00031785" w:rsidRDefault="00031785" w:rsidP="00031785">
      <w:pPr>
        <w:spacing w:before="3" w:line="237" w:lineRule="auto"/>
        <w:ind w:left="153" w:right="155"/>
        <w:jc w:val="center"/>
        <w:rPr>
          <w:b/>
          <w:bCs/>
          <w:szCs w:val="24"/>
        </w:rPr>
      </w:pPr>
      <w:r w:rsidRPr="54775126">
        <w:rPr>
          <w:b/>
          <w:bCs/>
          <w:szCs w:val="24"/>
        </w:rPr>
        <w:t>Russia’s Politics of Deference towards Armenia in the Nagorno-Karabakh Conflict</w:t>
      </w:r>
    </w:p>
    <w:p w14:paraId="5E85437B" w14:textId="77777777" w:rsidR="00031785" w:rsidRDefault="00031785" w:rsidP="00A110FD">
      <w:pPr>
        <w:pStyle w:val="Corpotesto"/>
        <w:ind w:left="0" w:firstLine="0"/>
        <w:jc w:val="left"/>
        <w:rPr>
          <w:b/>
        </w:rPr>
      </w:pPr>
    </w:p>
    <w:p w14:paraId="397ABDA5" w14:textId="77777777" w:rsidR="00031785" w:rsidRDefault="00031785" w:rsidP="00031785">
      <w:pPr>
        <w:pStyle w:val="Corpotesto"/>
        <w:ind w:left="0"/>
        <w:jc w:val="left"/>
        <w:rPr>
          <w:b/>
        </w:rPr>
      </w:pPr>
    </w:p>
    <w:p w14:paraId="34CA355D" w14:textId="77777777" w:rsidR="00031785" w:rsidRDefault="00031785" w:rsidP="00031785">
      <w:pPr>
        <w:pStyle w:val="Corpotesto"/>
        <w:spacing w:before="139"/>
        <w:ind w:left="0"/>
        <w:jc w:val="left"/>
        <w:rPr>
          <w:b/>
        </w:rPr>
      </w:pPr>
    </w:p>
    <w:p w14:paraId="7FFB5A95" w14:textId="77777777" w:rsidR="00A110FD" w:rsidRDefault="00A110FD" w:rsidP="00031785">
      <w:pPr>
        <w:pStyle w:val="Corpotesto"/>
        <w:ind w:left="153" w:right="155"/>
        <w:jc w:val="center"/>
      </w:pPr>
    </w:p>
    <w:p w14:paraId="4C6E0322" w14:textId="5585903D" w:rsidR="00031785" w:rsidRDefault="00031785" w:rsidP="00031785">
      <w:pPr>
        <w:pStyle w:val="Corpotesto"/>
        <w:ind w:left="153" w:right="155"/>
        <w:jc w:val="center"/>
      </w:pPr>
      <w:r>
        <w:t>DOCTORAL</w:t>
      </w:r>
      <w:r>
        <w:rPr>
          <w:spacing w:val="-1"/>
        </w:rPr>
        <w:t xml:space="preserve"> </w:t>
      </w:r>
      <w:r>
        <w:rPr>
          <w:spacing w:val="-2"/>
        </w:rPr>
        <w:t>DISSERTATION</w:t>
      </w:r>
    </w:p>
    <w:p w14:paraId="0FF1A770" w14:textId="77777777" w:rsidR="00031785" w:rsidRDefault="00031785" w:rsidP="006A3AB1">
      <w:pPr>
        <w:pStyle w:val="Corpotesto"/>
        <w:ind w:left="0" w:firstLine="0"/>
        <w:jc w:val="left"/>
      </w:pPr>
    </w:p>
    <w:p w14:paraId="599D3A6C" w14:textId="77777777" w:rsidR="00031785" w:rsidRDefault="00031785" w:rsidP="00A110FD">
      <w:pPr>
        <w:pStyle w:val="Corpotesto"/>
        <w:ind w:left="0" w:firstLine="0"/>
        <w:jc w:val="left"/>
      </w:pPr>
    </w:p>
    <w:p w14:paraId="7FD7287B" w14:textId="77777777" w:rsidR="00031785" w:rsidRDefault="00031785" w:rsidP="00031785">
      <w:pPr>
        <w:pStyle w:val="Corpotesto"/>
        <w:ind w:left="0"/>
        <w:jc w:val="left"/>
      </w:pPr>
    </w:p>
    <w:p w14:paraId="4F75EF05" w14:textId="77777777" w:rsidR="00031785" w:rsidRDefault="00031785" w:rsidP="00A110FD">
      <w:pPr>
        <w:pStyle w:val="Corpotesto"/>
        <w:spacing w:before="140"/>
        <w:ind w:left="0" w:firstLine="0"/>
        <w:jc w:val="left"/>
      </w:pPr>
    </w:p>
    <w:p w14:paraId="3AAC0EE9" w14:textId="00BCAAA8" w:rsidR="00031785" w:rsidRDefault="00031785" w:rsidP="00A110FD">
      <w:pPr>
        <w:pStyle w:val="Corpotesto"/>
        <w:ind w:left="153" w:right="155"/>
        <w:jc w:val="center"/>
      </w:pPr>
      <w:r>
        <w:t>Supervisors:</w:t>
      </w:r>
      <w:r>
        <w:rPr>
          <w:spacing w:val="-1"/>
        </w:rPr>
        <w:t xml:space="preserve"> </w:t>
      </w:r>
      <w:r>
        <w:t>Zoltán Kelemen,</w:t>
      </w:r>
      <w:r>
        <w:rPr>
          <w:spacing w:val="-1"/>
        </w:rPr>
        <w:t xml:space="preserve"> </w:t>
      </w:r>
      <w:r>
        <w:rPr>
          <w:spacing w:val="-5"/>
        </w:rPr>
        <w:t xml:space="preserve">PhD; </w:t>
      </w:r>
      <w:r>
        <w:t>Dániel Vékony, PhD</w:t>
      </w:r>
    </w:p>
    <w:p w14:paraId="1C7FF2E7" w14:textId="77777777" w:rsidR="00031785" w:rsidRDefault="00031785" w:rsidP="00A110FD">
      <w:pPr>
        <w:pStyle w:val="Corpotesto"/>
        <w:ind w:left="0" w:firstLine="0"/>
        <w:jc w:val="left"/>
      </w:pPr>
    </w:p>
    <w:p w14:paraId="73964163" w14:textId="77777777" w:rsidR="00031785" w:rsidRDefault="00031785" w:rsidP="00031785">
      <w:pPr>
        <w:pStyle w:val="Corpotesto"/>
        <w:ind w:left="0"/>
        <w:jc w:val="left"/>
      </w:pPr>
    </w:p>
    <w:p w14:paraId="66575904" w14:textId="77777777" w:rsidR="00031785" w:rsidRDefault="00031785" w:rsidP="00031785">
      <w:pPr>
        <w:pStyle w:val="Corpotesto"/>
        <w:spacing w:before="2"/>
        <w:ind w:left="0"/>
        <w:jc w:val="left"/>
      </w:pPr>
    </w:p>
    <w:p w14:paraId="32A38CDF" w14:textId="68CF11F1" w:rsidR="00031785" w:rsidRDefault="00031785" w:rsidP="00A110FD">
      <w:pPr>
        <w:pStyle w:val="Corpotesto"/>
        <w:ind w:left="153" w:right="155"/>
        <w:jc w:val="center"/>
      </w:pPr>
      <w:r>
        <w:t>Leonardo Zanatt</w:t>
      </w:r>
      <w:r w:rsidR="00A110FD">
        <w:t>a</w:t>
      </w:r>
    </w:p>
    <w:p w14:paraId="47602259" w14:textId="77777777" w:rsidR="00031785" w:rsidRDefault="00031785" w:rsidP="00031785">
      <w:pPr>
        <w:pStyle w:val="Corpotesto"/>
        <w:ind w:left="0"/>
        <w:jc w:val="left"/>
      </w:pPr>
    </w:p>
    <w:p w14:paraId="4E129A48" w14:textId="77777777" w:rsidR="00031785" w:rsidRDefault="00031785" w:rsidP="00031785">
      <w:pPr>
        <w:pStyle w:val="Corpotesto"/>
        <w:ind w:left="0"/>
        <w:jc w:val="left"/>
      </w:pPr>
    </w:p>
    <w:p w14:paraId="3AB58FDA" w14:textId="77777777" w:rsidR="00031785" w:rsidRDefault="00031785" w:rsidP="00031785">
      <w:pPr>
        <w:pStyle w:val="Corpotesto"/>
        <w:spacing w:before="272"/>
        <w:ind w:left="0"/>
        <w:jc w:val="left"/>
      </w:pPr>
    </w:p>
    <w:p w14:paraId="09E20795" w14:textId="1E8CF2CE" w:rsidR="00853612" w:rsidRDefault="00BD769C" w:rsidP="00BD769C">
      <w:pPr>
        <w:pStyle w:val="Corpotesto"/>
        <w:tabs>
          <w:tab w:val="center" w:pos="5316"/>
          <w:tab w:val="right" w:pos="9912"/>
        </w:tabs>
        <w:ind w:left="153" w:right="155"/>
        <w:jc w:val="left"/>
        <w:rPr>
          <w:spacing w:val="-4"/>
        </w:rPr>
        <w:sectPr w:rsidR="00853612" w:rsidSect="00BD769C">
          <w:footerReference w:type="default" r:id="rId8"/>
          <w:type w:val="nextColumn"/>
          <w:pgSz w:w="11910" w:h="16840"/>
          <w:pgMar w:top="1038" w:right="425" w:bottom="958" w:left="1418" w:header="0" w:footer="777" w:gutter="0"/>
          <w:cols w:space="720"/>
          <w:titlePg/>
          <w:docGrid w:linePitch="326"/>
        </w:sectPr>
      </w:pPr>
      <w:r>
        <w:tab/>
      </w:r>
      <w:r w:rsidR="00031785">
        <w:t>Budapest,</w:t>
      </w:r>
      <w:r w:rsidR="00031785">
        <w:rPr>
          <w:spacing w:val="-2"/>
        </w:rPr>
        <w:t xml:space="preserve"> </w:t>
      </w:r>
      <w:r w:rsidR="00031785">
        <w:rPr>
          <w:spacing w:val="-4"/>
        </w:rPr>
        <w:t>2025</w:t>
      </w:r>
      <w:r>
        <w:rPr>
          <w:spacing w:val="-4"/>
        </w:rPr>
        <w:tab/>
      </w:r>
    </w:p>
    <w:p w14:paraId="727597ED" w14:textId="568ADD05" w:rsidR="0087310A" w:rsidRPr="00BE6C94" w:rsidRDefault="0087310A" w:rsidP="00BE6C94">
      <w:pPr>
        <w:pStyle w:val="Titolo1"/>
      </w:pPr>
      <w:bookmarkStart w:id="1" w:name="_Toc215742619"/>
      <w:r w:rsidRPr="00BE6C94">
        <w:lastRenderedPageBreak/>
        <w:t>Contents</w:t>
      </w:r>
      <w:bookmarkEnd w:id="1"/>
    </w:p>
    <w:sdt>
      <w:sdtPr>
        <w:rPr>
          <w:rFonts w:ascii="Times New Roman" w:eastAsia="Times New Roman" w:hAnsi="Times New Roman" w:cs="Times New Roman"/>
          <w:color w:val="auto"/>
          <w:sz w:val="24"/>
          <w:szCs w:val="24"/>
          <w:lang w:val="en-US" w:eastAsia="en-US"/>
        </w:rPr>
        <w:id w:val="-2084443874"/>
        <w:docPartObj>
          <w:docPartGallery w:val="Table of Contents"/>
          <w:docPartUnique/>
        </w:docPartObj>
      </w:sdtPr>
      <w:sdtEndPr>
        <w:rPr>
          <w:b/>
          <w:bCs/>
        </w:rPr>
      </w:sdtEndPr>
      <w:sdtContent>
        <w:p w14:paraId="3707CF79" w14:textId="4BF7D534" w:rsidR="008227BD" w:rsidRPr="008227BD" w:rsidRDefault="008227BD" w:rsidP="008227BD">
          <w:pPr>
            <w:pStyle w:val="Titolosommario"/>
            <w:spacing w:line="240" w:lineRule="auto"/>
            <w:rPr>
              <w:rFonts w:ascii="Times New Roman" w:hAnsi="Times New Roman" w:cs="Times New Roman"/>
              <w:sz w:val="24"/>
              <w:szCs w:val="24"/>
            </w:rPr>
          </w:pPr>
        </w:p>
        <w:p w14:paraId="6ACF0530" w14:textId="120D51F5" w:rsidR="00AD4774" w:rsidRDefault="008227BD">
          <w:pPr>
            <w:pStyle w:val="Sommario1"/>
            <w:rPr>
              <w:rFonts w:asciiTheme="minorHAnsi" w:eastAsiaTheme="minorEastAsia" w:hAnsiTheme="minorHAnsi" w:cstheme="minorBidi"/>
              <w:noProof/>
              <w:sz w:val="22"/>
              <w:lang w:val="it-IT" w:eastAsia="it-IT"/>
            </w:rPr>
          </w:pPr>
          <w:r w:rsidRPr="008227BD">
            <w:rPr>
              <w:szCs w:val="24"/>
            </w:rPr>
            <w:fldChar w:fldCharType="begin"/>
          </w:r>
          <w:r w:rsidRPr="008227BD">
            <w:rPr>
              <w:szCs w:val="24"/>
            </w:rPr>
            <w:instrText xml:space="preserve"> TOC \o "1-3" \h \z \u </w:instrText>
          </w:r>
          <w:r w:rsidRPr="008227BD">
            <w:rPr>
              <w:szCs w:val="24"/>
            </w:rPr>
            <w:fldChar w:fldCharType="separate"/>
          </w:r>
          <w:hyperlink w:anchor="_Toc215742618" w:history="1">
            <w:r w:rsidR="00AD4774" w:rsidRPr="005C6910">
              <w:rPr>
                <w:rStyle w:val="Collegamentoipertestuale"/>
                <w:rFonts w:eastAsiaTheme="majorEastAsia"/>
                <w:noProof/>
              </w:rPr>
              <w:t>YOU SHALL NOT FORGET WHO PROTECTED YOU!</w:t>
            </w:r>
            <w:r w:rsidR="00AD4774">
              <w:rPr>
                <w:noProof/>
                <w:webHidden/>
              </w:rPr>
              <w:tab/>
            </w:r>
            <w:r w:rsidR="00AD4774">
              <w:rPr>
                <w:noProof/>
                <w:webHidden/>
              </w:rPr>
              <w:fldChar w:fldCharType="begin"/>
            </w:r>
            <w:r w:rsidR="00AD4774">
              <w:rPr>
                <w:noProof/>
                <w:webHidden/>
              </w:rPr>
              <w:instrText xml:space="preserve"> PAGEREF _Toc215742618 \h </w:instrText>
            </w:r>
            <w:r w:rsidR="00AD4774">
              <w:rPr>
                <w:noProof/>
                <w:webHidden/>
              </w:rPr>
            </w:r>
            <w:r w:rsidR="00AD4774">
              <w:rPr>
                <w:noProof/>
                <w:webHidden/>
              </w:rPr>
              <w:fldChar w:fldCharType="separate"/>
            </w:r>
            <w:r w:rsidR="00AD4774">
              <w:rPr>
                <w:noProof/>
                <w:webHidden/>
              </w:rPr>
              <w:t>1</w:t>
            </w:r>
            <w:r w:rsidR="00AD4774">
              <w:rPr>
                <w:noProof/>
                <w:webHidden/>
              </w:rPr>
              <w:fldChar w:fldCharType="end"/>
            </w:r>
          </w:hyperlink>
        </w:p>
        <w:p w14:paraId="2306E199" w14:textId="307EAEE4" w:rsidR="00AD4774" w:rsidRDefault="00AD4774">
          <w:pPr>
            <w:pStyle w:val="Sommario1"/>
            <w:rPr>
              <w:rFonts w:asciiTheme="minorHAnsi" w:eastAsiaTheme="minorEastAsia" w:hAnsiTheme="minorHAnsi" w:cstheme="minorBidi"/>
              <w:noProof/>
              <w:sz w:val="22"/>
              <w:lang w:val="it-IT" w:eastAsia="it-IT"/>
            </w:rPr>
          </w:pPr>
          <w:hyperlink w:anchor="_Toc215742619" w:history="1">
            <w:r w:rsidRPr="005C6910">
              <w:rPr>
                <w:rStyle w:val="Collegamentoipertestuale"/>
                <w:rFonts w:eastAsiaTheme="majorEastAsia"/>
                <w:noProof/>
              </w:rPr>
              <w:t>Contents</w:t>
            </w:r>
            <w:r>
              <w:rPr>
                <w:noProof/>
                <w:webHidden/>
              </w:rPr>
              <w:tab/>
            </w:r>
            <w:r>
              <w:rPr>
                <w:noProof/>
                <w:webHidden/>
              </w:rPr>
              <w:fldChar w:fldCharType="begin"/>
            </w:r>
            <w:r>
              <w:rPr>
                <w:noProof/>
                <w:webHidden/>
              </w:rPr>
              <w:instrText xml:space="preserve"> PAGEREF _Toc215742619 \h </w:instrText>
            </w:r>
            <w:r>
              <w:rPr>
                <w:noProof/>
                <w:webHidden/>
              </w:rPr>
            </w:r>
            <w:r>
              <w:rPr>
                <w:noProof/>
                <w:webHidden/>
              </w:rPr>
              <w:fldChar w:fldCharType="separate"/>
            </w:r>
            <w:r>
              <w:rPr>
                <w:noProof/>
                <w:webHidden/>
              </w:rPr>
              <w:t>2</w:t>
            </w:r>
            <w:r>
              <w:rPr>
                <w:noProof/>
                <w:webHidden/>
              </w:rPr>
              <w:fldChar w:fldCharType="end"/>
            </w:r>
          </w:hyperlink>
        </w:p>
        <w:p w14:paraId="5A09786E" w14:textId="41E39BD9" w:rsidR="00AD4774" w:rsidRDefault="00AD4774">
          <w:pPr>
            <w:pStyle w:val="Sommario1"/>
            <w:rPr>
              <w:rFonts w:asciiTheme="minorHAnsi" w:eastAsiaTheme="minorEastAsia" w:hAnsiTheme="minorHAnsi" w:cstheme="minorBidi"/>
              <w:noProof/>
              <w:sz w:val="22"/>
              <w:lang w:val="it-IT" w:eastAsia="it-IT"/>
            </w:rPr>
          </w:pPr>
          <w:hyperlink w:anchor="_Toc215742620" w:history="1">
            <w:r w:rsidRPr="005C6910">
              <w:rPr>
                <w:rStyle w:val="Collegamentoipertestuale"/>
                <w:rFonts w:eastAsiaTheme="majorEastAsia"/>
                <w:noProof/>
              </w:rPr>
              <w:t>Acknowledgments</w:t>
            </w:r>
            <w:r>
              <w:rPr>
                <w:noProof/>
                <w:webHidden/>
              </w:rPr>
              <w:tab/>
            </w:r>
            <w:r>
              <w:rPr>
                <w:noProof/>
                <w:webHidden/>
              </w:rPr>
              <w:fldChar w:fldCharType="begin"/>
            </w:r>
            <w:r>
              <w:rPr>
                <w:noProof/>
                <w:webHidden/>
              </w:rPr>
              <w:instrText xml:space="preserve"> PAGEREF _Toc215742620 \h </w:instrText>
            </w:r>
            <w:r>
              <w:rPr>
                <w:noProof/>
                <w:webHidden/>
              </w:rPr>
            </w:r>
            <w:r>
              <w:rPr>
                <w:noProof/>
                <w:webHidden/>
              </w:rPr>
              <w:fldChar w:fldCharType="separate"/>
            </w:r>
            <w:r>
              <w:rPr>
                <w:noProof/>
                <w:webHidden/>
              </w:rPr>
              <w:t>5</w:t>
            </w:r>
            <w:r>
              <w:rPr>
                <w:noProof/>
                <w:webHidden/>
              </w:rPr>
              <w:fldChar w:fldCharType="end"/>
            </w:r>
          </w:hyperlink>
        </w:p>
        <w:p w14:paraId="385E0999" w14:textId="5BC2AA56" w:rsidR="00AD4774" w:rsidRDefault="00AD4774">
          <w:pPr>
            <w:pStyle w:val="Sommario1"/>
            <w:rPr>
              <w:rFonts w:asciiTheme="minorHAnsi" w:eastAsiaTheme="minorEastAsia" w:hAnsiTheme="minorHAnsi" w:cstheme="minorBidi"/>
              <w:noProof/>
              <w:sz w:val="22"/>
              <w:lang w:val="it-IT" w:eastAsia="it-IT"/>
            </w:rPr>
          </w:pPr>
          <w:hyperlink w:anchor="_Toc215742621" w:history="1">
            <w:r w:rsidRPr="005C6910">
              <w:rPr>
                <w:rStyle w:val="Collegamentoipertestuale"/>
                <w:rFonts w:eastAsiaTheme="majorEastAsia"/>
                <w:noProof/>
              </w:rPr>
              <w:t>List of Figures</w:t>
            </w:r>
            <w:r>
              <w:rPr>
                <w:noProof/>
                <w:webHidden/>
              </w:rPr>
              <w:tab/>
            </w:r>
            <w:r>
              <w:rPr>
                <w:noProof/>
                <w:webHidden/>
              </w:rPr>
              <w:fldChar w:fldCharType="begin"/>
            </w:r>
            <w:r>
              <w:rPr>
                <w:noProof/>
                <w:webHidden/>
              </w:rPr>
              <w:instrText xml:space="preserve"> PAGEREF _Toc215742621 \h </w:instrText>
            </w:r>
            <w:r>
              <w:rPr>
                <w:noProof/>
                <w:webHidden/>
              </w:rPr>
            </w:r>
            <w:r>
              <w:rPr>
                <w:noProof/>
                <w:webHidden/>
              </w:rPr>
              <w:fldChar w:fldCharType="separate"/>
            </w:r>
            <w:r>
              <w:rPr>
                <w:noProof/>
                <w:webHidden/>
              </w:rPr>
              <w:t>6</w:t>
            </w:r>
            <w:r>
              <w:rPr>
                <w:noProof/>
                <w:webHidden/>
              </w:rPr>
              <w:fldChar w:fldCharType="end"/>
            </w:r>
          </w:hyperlink>
        </w:p>
        <w:p w14:paraId="0AA3132B" w14:textId="6510696A" w:rsidR="00AD4774" w:rsidRDefault="00AD4774">
          <w:pPr>
            <w:pStyle w:val="Sommario1"/>
            <w:rPr>
              <w:rFonts w:asciiTheme="minorHAnsi" w:eastAsiaTheme="minorEastAsia" w:hAnsiTheme="minorHAnsi" w:cstheme="minorBidi"/>
              <w:noProof/>
              <w:sz w:val="22"/>
              <w:lang w:val="it-IT" w:eastAsia="it-IT"/>
            </w:rPr>
          </w:pPr>
          <w:hyperlink w:anchor="_Toc215742622" w:history="1">
            <w:r w:rsidRPr="005C6910">
              <w:rPr>
                <w:rStyle w:val="Collegamentoipertestuale"/>
                <w:rFonts w:eastAsiaTheme="majorEastAsia"/>
                <w:noProof/>
              </w:rPr>
              <w:t>List of Tables</w:t>
            </w:r>
            <w:r>
              <w:rPr>
                <w:noProof/>
                <w:webHidden/>
              </w:rPr>
              <w:tab/>
            </w:r>
            <w:r>
              <w:rPr>
                <w:noProof/>
                <w:webHidden/>
              </w:rPr>
              <w:fldChar w:fldCharType="begin"/>
            </w:r>
            <w:r>
              <w:rPr>
                <w:noProof/>
                <w:webHidden/>
              </w:rPr>
              <w:instrText xml:space="preserve"> PAGEREF _Toc215742622 \h </w:instrText>
            </w:r>
            <w:r>
              <w:rPr>
                <w:noProof/>
                <w:webHidden/>
              </w:rPr>
            </w:r>
            <w:r>
              <w:rPr>
                <w:noProof/>
                <w:webHidden/>
              </w:rPr>
              <w:fldChar w:fldCharType="separate"/>
            </w:r>
            <w:r>
              <w:rPr>
                <w:noProof/>
                <w:webHidden/>
              </w:rPr>
              <w:t>6</w:t>
            </w:r>
            <w:r>
              <w:rPr>
                <w:noProof/>
                <w:webHidden/>
              </w:rPr>
              <w:fldChar w:fldCharType="end"/>
            </w:r>
          </w:hyperlink>
        </w:p>
        <w:p w14:paraId="2D231145" w14:textId="7A83444C" w:rsidR="00AD4774" w:rsidRDefault="00AD4774">
          <w:pPr>
            <w:pStyle w:val="Sommario1"/>
            <w:rPr>
              <w:rFonts w:asciiTheme="minorHAnsi" w:eastAsiaTheme="minorEastAsia" w:hAnsiTheme="minorHAnsi" w:cstheme="minorBidi"/>
              <w:noProof/>
              <w:sz w:val="22"/>
              <w:lang w:val="it-IT" w:eastAsia="it-IT"/>
            </w:rPr>
          </w:pPr>
          <w:hyperlink w:anchor="_Toc215742623" w:history="1">
            <w:r w:rsidRPr="005C6910">
              <w:rPr>
                <w:rStyle w:val="Collegamentoipertestuale"/>
                <w:rFonts w:eastAsiaTheme="majorEastAsia"/>
                <w:noProof/>
              </w:rPr>
              <w:t>List of Maps</w:t>
            </w:r>
            <w:r>
              <w:rPr>
                <w:noProof/>
                <w:webHidden/>
              </w:rPr>
              <w:tab/>
            </w:r>
            <w:r>
              <w:rPr>
                <w:noProof/>
                <w:webHidden/>
              </w:rPr>
              <w:fldChar w:fldCharType="begin"/>
            </w:r>
            <w:r>
              <w:rPr>
                <w:noProof/>
                <w:webHidden/>
              </w:rPr>
              <w:instrText xml:space="preserve"> PAGEREF _Toc215742623 \h </w:instrText>
            </w:r>
            <w:r>
              <w:rPr>
                <w:noProof/>
                <w:webHidden/>
              </w:rPr>
            </w:r>
            <w:r>
              <w:rPr>
                <w:noProof/>
                <w:webHidden/>
              </w:rPr>
              <w:fldChar w:fldCharType="separate"/>
            </w:r>
            <w:r>
              <w:rPr>
                <w:noProof/>
                <w:webHidden/>
              </w:rPr>
              <w:t>6</w:t>
            </w:r>
            <w:r>
              <w:rPr>
                <w:noProof/>
                <w:webHidden/>
              </w:rPr>
              <w:fldChar w:fldCharType="end"/>
            </w:r>
          </w:hyperlink>
        </w:p>
        <w:p w14:paraId="355A43D5" w14:textId="5ADE70E3" w:rsidR="00AD4774" w:rsidRDefault="00AD4774">
          <w:pPr>
            <w:pStyle w:val="Sommario1"/>
            <w:rPr>
              <w:rFonts w:asciiTheme="minorHAnsi" w:eastAsiaTheme="minorEastAsia" w:hAnsiTheme="minorHAnsi" w:cstheme="minorBidi"/>
              <w:noProof/>
              <w:sz w:val="22"/>
              <w:lang w:val="it-IT" w:eastAsia="it-IT"/>
            </w:rPr>
          </w:pPr>
          <w:hyperlink w:anchor="_Toc215742624" w:history="1">
            <w:r w:rsidRPr="005C6910">
              <w:rPr>
                <w:rStyle w:val="Collegamentoipertestuale"/>
                <w:rFonts w:eastAsiaTheme="majorEastAsia"/>
                <w:noProof/>
              </w:rPr>
              <w:t>Abbreviations</w:t>
            </w:r>
            <w:r>
              <w:rPr>
                <w:noProof/>
                <w:webHidden/>
              </w:rPr>
              <w:tab/>
            </w:r>
            <w:r>
              <w:rPr>
                <w:noProof/>
                <w:webHidden/>
              </w:rPr>
              <w:fldChar w:fldCharType="begin"/>
            </w:r>
            <w:r>
              <w:rPr>
                <w:noProof/>
                <w:webHidden/>
              </w:rPr>
              <w:instrText xml:space="preserve"> PAGEREF _Toc215742624 \h </w:instrText>
            </w:r>
            <w:r>
              <w:rPr>
                <w:noProof/>
                <w:webHidden/>
              </w:rPr>
            </w:r>
            <w:r>
              <w:rPr>
                <w:noProof/>
                <w:webHidden/>
              </w:rPr>
              <w:fldChar w:fldCharType="separate"/>
            </w:r>
            <w:r>
              <w:rPr>
                <w:noProof/>
                <w:webHidden/>
              </w:rPr>
              <w:t>7</w:t>
            </w:r>
            <w:r>
              <w:rPr>
                <w:noProof/>
                <w:webHidden/>
              </w:rPr>
              <w:fldChar w:fldCharType="end"/>
            </w:r>
          </w:hyperlink>
        </w:p>
        <w:p w14:paraId="62E90BF5" w14:textId="0447A1CE" w:rsidR="00AD4774" w:rsidRDefault="00AD4774">
          <w:pPr>
            <w:pStyle w:val="Sommario1"/>
            <w:rPr>
              <w:rFonts w:asciiTheme="minorHAnsi" w:eastAsiaTheme="minorEastAsia" w:hAnsiTheme="minorHAnsi" w:cstheme="minorBidi"/>
              <w:noProof/>
              <w:sz w:val="22"/>
              <w:lang w:val="it-IT" w:eastAsia="it-IT"/>
            </w:rPr>
          </w:pPr>
          <w:hyperlink w:anchor="_Toc215742625" w:history="1">
            <w:r w:rsidRPr="005C6910">
              <w:rPr>
                <w:rStyle w:val="Collegamentoipertestuale"/>
                <w:rFonts w:eastAsiaTheme="majorEastAsia"/>
                <w:noProof/>
              </w:rPr>
              <w:t>1. Introduction</w:t>
            </w:r>
            <w:r>
              <w:rPr>
                <w:noProof/>
                <w:webHidden/>
              </w:rPr>
              <w:tab/>
            </w:r>
            <w:r>
              <w:rPr>
                <w:noProof/>
                <w:webHidden/>
              </w:rPr>
              <w:fldChar w:fldCharType="begin"/>
            </w:r>
            <w:r>
              <w:rPr>
                <w:noProof/>
                <w:webHidden/>
              </w:rPr>
              <w:instrText xml:space="preserve"> PAGEREF _Toc215742625 \h </w:instrText>
            </w:r>
            <w:r>
              <w:rPr>
                <w:noProof/>
                <w:webHidden/>
              </w:rPr>
            </w:r>
            <w:r>
              <w:rPr>
                <w:noProof/>
                <w:webHidden/>
              </w:rPr>
              <w:fldChar w:fldCharType="separate"/>
            </w:r>
            <w:r>
              <w:rPr>
                <w:noProof/>
                <w:webHidden/>
              </w:rPr>
              <w:t>8</w:t>
            </w:r>
            <w:r>
              <w:rPr>
                <w:noProof/>
                <w:webHidden/>
              </w:rPr>
              <w:fldChar w:fldCharType="end"/>
            </w:r>
          </w:hyperlink>
        </w:p>
        <w:p w14:paraId="217C9E15" w14:textId="49D1CE67"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26" w:history="1">
            <w:r w:rsidRPr="005C6910">
              <w:rPr>
                <w:rStyle w:val="Collegamentoipertestuale"/>
                <w:rFonts w:eastAsiaTheme="majorEastAsia"/>
                <w:noProof/>
              </w:rPr>
              <w:t>1.1. Introducing the Research Puzzle</w:t>
            </w:r>
            <w:r>
              <w:rPr>
                <w:noProof/>
                <w:webHidden/>
              </w:rPr>
              <w:tab/>
            </w:r>
            <w:r>
              <w:rPr>
                <w:noProof/>
                <w:webHidden/>
              </w:rPr>
              <w:fldChar w:fldCharType="begin"/>
            </w:r>
            <w:r>
              <w:rPr>
                <w:noProof/>
                <w:webHidden/>
              </w:rPr>
              <w:instrText xml:space="preserve"> PAGEREF _Toc215742626 \h </w:instrText>
            </w:r>
            <w:r>
              <w:rPr>
                <w:noProof/>
                <w:webHidden/>
              </w:rPr>
            </w:r>
            <w:r>
              <w:rPr>
                <w:noProof/>
                <w:webHidden/>
              </w:rPr>
              <w:fldChar w:fldCharType="separate"/>
            </w:r>
            <w:r>
              <w:rPr>
                <w:noProof/>
                <w:webHidden/>
              </w:rPr>
              <w:t>8</w:t>
            </w:r>
            <w:r>
              <w:rPr>
                <w:noProof/>
                <w:webHidden/>
              </w:rPr>
              <w:fldChar w:fldCharType="end"/>
            </w:r>
          </w:hyperlink>
        </w:p>
        <w:p w14:paraId="44C94A92" w14:textId="74647547"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27" w:history="1">
            <w:r w:rsidRPr="005C6910">
              <w:rPr>
                <w:rStyle w:val="Collegamentoipertestuale"/>
                <w:rFonts w:eastAsiaTheme="majorEastAsia"/>
                <w:noProof/>
              </w:rPr>
              <w:t>1.2. The Approach of the Dissertation</w:t>
            </w:r>
            <w:r>
              <w:rPr>
                <w:noProof/>
                <w:webHidden/>
              </w:rPr>
              <w:tab/>
            </w:r>
            <w:r>
              <w:rPr>
                <w:noProof/>
                <w:webHidden/>
              </w:rPr>
              <w:fldChar w:fldCharType="begin"/>
            </w:r>
            <w:r>
              <w:rPr>
                <w:noProof/>
                <w:webHidden/>
              </w:rPr>
              <w:instrText xml:space="preserve"> PAGEREF _Toc215742627 \h </w:instrText>
            </w:r>
            <w:r>
              <w:rPr>
                <w:noProof/>
                <w:webHidden/>
              </w:rPr>
            </w:r>
            <w:r>
              <w:rPr>
                <w:noProof/>
                <w:webHidden/>
              </w:rPr>
              <w:fldChar w:fldCharType="separate"/>
            </w:r>
            <w:r>
              <w:rPr>
                <w:noProof/>
                <w:webHidden/>
              </w:rPr>
              <w:t>11</w:t>
            </w:r>
            <w:r>
              <w:rPr>
                <w:noProof/>
                <w:webHidden/>
              </w:rPr>
              <w:fldChar w:fldCharType="end"/>
            </w:r>
          </w:hyperlink>
        </w:p>
        <w:p w14:paraId="793E8CB1" w14:textId="1BB294CA"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28" w:history="1">
            <w:r w:rsidRPr="005C6910">
              <w:rPr>
                <w:rStyle w:val="Collegamentoipertestuale"/>
                <w:rFonts w:eastAsiaTheme="majorEastAsia"/>
                <w:noProof/>
              </w:rPr>
              <w:t>1.3. Methodology and Operationalization of the Research Question</w:t>
            </w:r>
            <w:r>
              <w:rPr>
                <w:noProof/>
                <w:webHidden/>
              </w:rPr>
              <w:tab/>
            </w:r>
            <w:r>
              <w:rPr>
                <w:noProof/>
                <w:webHidden/>
              </w:rPr>
              <w:fldChar w:fldCharType="begin"/>
            </w:r>
            <w:r>
              <w:rPr>
                <w:noProof/>
                <w:webHidden/>
              </w:rPr>
              <w:instrText xml:space="preserve"> PAGEREF _Toc215742628 \h </w:instrText>
            </w:r>
            <w:r>
              <w:rPr>
                <w:noProof/>
                <w:webHidden/>
              </w:rPr>
            </w:r>
            <w:r>
              <w:rPr>
                <w:noProof/>
                <w:webHidden/>
              </w:rPr>
              <w:fldChar w:fldCharType="separate"/>
            </w:r>
            <w:r>
              <w:rPr>
                <w:noProof/>
                <w:webHidden/>
              </w:rPr>
              <w:t>12</w:t>
            </w:r>
            <w:r>
              <w:rPr>
                <w:noProof/>
                <w:webHidden/>
              </w:rPr>
              <w:fldChar w:fldCharType="end"/>
            </w:r>
          </w:hyperlink>
        </w:p>
        <w:p w14:paraId="6FA85158" w14:textId="1C901FF6"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29" w:history="1">
            <w:r w:rsidRPr="005C6910">
              <w:rPr>
                <w:rStyle w:val="Collegamentoipertestuale"/>
                <w:rFonts w:eastAsiaTheme="majorEastAsia"/>
                <w:noProof/>
              </w:rPr>
              <w:t>1.4. Expected contributions</w:t>
            </w:r>
            <w:r>
              <w:rPr>
                <w:noProof/>
                <w:webHidden/>
              </w:rPr>
              <w:tab/>
            </w:r>
            <w:r>
              <w:rPr>
                <w:noProof/>
                <w:webHidden/>
              </w:rPr>
              <w:fldChar w:fldCharType="begin"/>
            </w:r>
            <w:r>
              <w:rPr>
                <w:noProof/>
                <w:webHidden/>
              </w:rPr>
              <w:instrText xml:space="preserve"> PAGEREF _Toc215742629 \h </w:instrText>
            </w:r>
            <w:r>
              <w:rPr>
                <w:noProof/>
                <w:webHidden/>
              </w:rPr>
            </w:r>
            <w:r>
              <w:rPr>
                <w:noProof/>
                <w:webHidden/>
              </w:rPr>
              <w:fldChar w:fldCharType="separate"/>
            </w:r>
            <w:r>
              <w:rPr>
                <w:noProof/>
                <w:webHidden/>
              </w:rPr>
              <w:t>14</w:t>
            </w:r>
            <w:r>
              <w:rPr>
                <w:noProof/>
                <w:webHidden/>
              </w:rPr>
              <w:fldChar w:fldCharType="end"/>
            </w:r>
          </w:hyperlink>
        </w:p>
        <w:p w14:paraId="27457E4D" w14:textId="2B7D2E87"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30" w:history="1">
            <w:r w:rsidRPr="005C6910">
              <w:rPr>
                <w:rStyle w:val="Collegamentoipertestuale"/>
                <w:rFonts w:eastAsiaTheme="majorEastAsia"/>
                <w:noProof/>
              </w:rPr>
              <w:t>1.5. Roadmap of the Dissertation</w:t>
            </w:r>
            <w:r>
              <w:rPr>
                <w:noProof/>
                <w:webHidden/>
              </w:rPr>
              <w:tab/>
            </w:r>
            <w:r>
              <w:rPr>
                <w:noProof/>
                <w:webHidden/>
              </w:rPr>
              <w:fldChar w:fldCharType="begin"/>
            </w:r>
            <w:r>
              <w:rPr>
                <w:noProof/>
                <w:webHidden/>
              </w:rPr>
              <w:instrText xml:space="preserve"> PAGEREF _Toc215742630 \h </w:instrText>
            </w:r>
            <w:r>
              <w:rPr>
                <w:noProof/>
                <w:webHidden/>
              </w:rPr>
            </w:r>
            <w:r>
              <w:rPr>
                <w:noProof/>
                <w:webHidden/>
              </w:rPr>
              <w:fldChar w:fldCharType="separate"/>
            </w:r>
            <w:r>
              <w:rPr>
                <w:noProof/>
                <w:webHidden/>
              </w:rPr>
              <w:t>15</w:t>
            </w:r>
            <w:r>
              <w:rPr>
                <w:noProof/>
                <w:webHidden/>
              </w:rPr>
              <w:fldChar w:fldCharType="end"/>
            </w:r>
          </w:hyperlink>
        </w:p>
        <w:p w14:paraId="300B2804" w14:textId="40027C04" w:rsidR="00AD4774" w:rsidRDefault="00AD4774">
          <w:pPr>
            <w:pStyle w:val="Sommario1"/>
            <w:rPr>
              <w:rFonts w:asciiTheme="minorHAnsi" w:eastAsiaTheme="minorEastAsia" w:hAnsiTheme="minorHAnsi" w:cstheme="minorBidi"/>
              <w:noProof/>
              <w:sz w:val="22"/>
              <w:lang w:val="it-IT" w:eastAsia="it-IT"/>
            </w:rPr>
          </w:pPr>
          <w:hyperlink w:anchor="_Toc215742631" w:history="1">
            <w:r w:rsidRPr="005C6910">
              <w:rPr>
                <w:rStyle w:val="Collegamentoipertestuale"/>
                <w:rFonts w:eastAsiaTheme="majorEastAsia"/>
                <w:noProof/>
              </w:rPr>
              <w:t>2. Theoretical Framework</w:t>
            </w:r>
            <w:r>
              <w:rPr>
                <w:noProof/>
                <w:webHidden/>
              </w:rPr>
              <w:tab/>
            </w:r>
            <w:r>
              <w:rPr>
                <w:noProof/>
                <w:webHidden/>
              </w:rPr>
              <w:fldChar w:fldCharType="begin"/>
            </w:r>
            <w:r>
              <w:rPr>
                <w:noProof/>
                <w:webHidden/>
              </w:rPr>
              <w:instrText xml:space="preserve"> PAGEREF _Toc215742631 \h </w:instrText>
            </w:r>
            <w:r>
              <w:rPr>
                <w:noProof/>
                <w:webHidden/>
              </w:rPr>
            </w:r>
            <w:r>
              <w:rPr>
                <w:noProof/>
                <w:webHidden/>
              </w:rPr>
              <w:fldChar w:fldCharType="separate"/>
            </w:r>
            <w:r>
              <w:rPr>
                <w:noProof/>
                <w:webHidden/>
              </w:rPr>
              <w:t>17</w:t>
            </w:r>
            <w:r>
              <w:rPr>
                <w:noProof/>
                <w:webHidden/>
              </w:rPr>
              <w:fldChar w:fldCharType="end"/>
            </w:r>
          </w:hyperlink>
        </w:p>
        <w:p w14:paraId="370AE557" w14:textId="40215294"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32" w:history="1">
            <w:r w:rsidRPr="005C6910">
              <w:rPr>
                <w:rStyle w:val="Collegamentoipertestuale"/>
                <w:rFonts w:eastAsiaTheme="majorEastAsia"/>
                <w:noProof/>
              </w:rPr>
              <w:t>Introduction</w:t>
            </w:r>
            <w:r>
              <w:rPr>
                <w:noProof/>
                <w:webHidden/>
              </w:rPr>
              <w:tab/>
            </w:r>
            <w:r>
              <w:rPr>
                <w:noProof/>
                <w:webHidden/>
              </w:rPr>
              <w:fldChar w:fldCharType="begin"/>
            </w:r>
            <w:r>
              <w:rPr>
                <w:noProof/>
                <w:webHidden/>
              </w:rPr>
              <w:instrText xml:space="preserve"> PAGEREF _Toc215742632 \h </w:instrText>
            </w:r>
            <w:r>
              <w:rPr>
                <w:noProof/>
                <w:webHidden/>
              </w:rPr>
            </w:r>
            <w:r>
              <w:rPr>
                <w:noProof/>
                <w:webHidden/>
              </w:rPr>
              <w:fldChar w:fldCharType="separate"/>
            </w:r>
            <w:r>
              <w:rPr>
                <w:noProof/>
                <w:webHidden/>
              </w:rPr>
              <w:t>17</w:t>
            </w:r>
            <w:r>
              <w:rPr>
                <w:noProof/>
                <w:webHidden/>
              </w:rPr>
              <w:fldChar w:fldCharType="end"/>
            </w:r>
          </w:hyperlink>
        </w:p>
        <w:p w14:paraId="380D03D0" w14:textId="60C13CA9"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33" w:history="1">
            <w:r w:rsidRPr="005C6910">
              <w:rPr>
                <w:rStyle w:val="Collegamentoipertestuale"/>
                <w:rFonts w:eastAsiaTheme="majorEastAsia"/>
                <w:noProof/>
              </w:rPr>
              <w:t>2.1. Theoretical Concepts</w:t>
            </w:r>
            <w:r>
              <w:rPr>
                <w:noProof/>
                <w:webHidden/>
              </w:rPr>
              <w:tab/>
            </w:r>
            <w:r>
              <w:rPr>
                <w:noProof/>
                <w:webHidden/>
              </w:rPr>
              <w:fldChar w:fldCharType="begin"/>
            </w:r>
            <w:r>
              <w:rPr>
                <w:noProof/>
                <w:webHidden/>
              </w:rPr>
              <w:instrText xml:space="preserve"> PAGEREF _Toc215742633 \h </w:instrText>
            </w:r>
            <w:r>
              <w:rPr>
                <w:noProof/>
                <w:webHidden/>
              </w:rPr>
            </w:r>
            <w:r>
              <w:rPr>
                <w:noProof/>
                <w:webHidden/>
              </w:rPr>
              <w:fldChar w:fldCharType="separate"/>
            </w:r>
            <w:r>
              <w:rPr>
                <w:noProof/>
                <w:webHidden/>
              </w:rPr>
              <w:t>18</w:t>
            </w:r>
            <w:r>
              <w:rPr>
                <w:noProof/>
                <w:webHidden/>
              </w:rPr>
              <w:fldChar w:fldCharType="end"/>
            </w:r>
          </w:hyperlink>
        </w:p>
        <w:p w14:paraId="665807CB" w14:textId="0191D9E2"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34" w:history="1">
            <w:r w:rsidRPr="005C6910">
              <w:rPr>
                <w:rStyle w:val="Collegamentoipertestuale"/>
                <w:rFonts w:eastAsiaTheme="majorEastAsia"/>
                <w:noProof/>
              </w:rPr>
              <w:t>2.1.1. Ontological Security in IR.</w:t>
            </w:r>
            <w:r>
              <w:rPr>
                <w:noProof/>
                <w:webHidden/>
              </w:rPr>
              <w:tab/>
            </w:r>
            <w:r>
              <w:rPr>
                <w:noProof/>
                <w:webHidden/>
              </w:rPr>
              <w:fldChar w:fldCharType="begin"/>
            </w:r>
            <w:r>
              <w:rPr>
                <w:noProof/>
                <w:webHidden/>
              </w:rPr>
              <w:instrText xml:space="preserve"> PAGEREF _Toc215742634 \h </w:instrText>
            </w:r>
            <w:r>
              <w:rPr>
                <w:noProof/>
                <w:webHidden/>
              </w:rPr>
            </w:r>
            <w:r>
              <w:rPr>
                <w:noProof/>
                <w:webHidden/>
              </w:rPr>
              <w:fldChar w:fldCharType="separate"/>
            </w:r>
            <w:r>
              <w:rPr>
                <w:noProof/>
                <w:webHidden/>
              </w:rPr>
              <w:t>18</w:t>
            </w:r>
            <w:r>
              <w:rPr>
                <w:noProof/>
                <w:webHidden/>
              </w:rPr>
              <w:fldChar w:fldCharType="end"/>
            </w:r>
          </w:hyperlink>
        </w:p>
        <w:p w14:paraId="5A2FF0A7" w14:textId="0FE7FEF9"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35" w:history="1">
            <w:r w:rsidRPr="005C6910">
              <w:rPr>
                <w:rStyle w:val="Collegamentoipertestuale"/>
                <w:rFonts w:eastAsiaTheme="majorEastAsia"/>
                <w:noProof/>
              </w:rPr>
              <w:t>2.1.2. Memory Politics</w:t>
            </w:r>
            <w:r>
              <w:rPr>
                <w:noProof/>
                <w:webHidden/>
              </w:rPr>
              <w:tab/>
            </w:r>
            <w:r>
              <w:rPr>
                <w:noProof/>
                <w:webHidden/>
              </w:rPr>
              <w:fldChar w:fldCharType="begin"/>
            </w:r>
            <w:r>
              <w:rPr>
                <w:noProof/>
                <w:webHidden/>
              </w:rPr>
              <w:instrText xml:space="preserve"> PAGEREF _Toc215742635 \h </w:instrText>
            </w:r>
            <w:r>
              <w:rPr>
                <w:noProof/>
                <w:webHidden/>
              </w:rPr>
            </w:r>
            <w:r>
              <w:rPr>
                <w:noProof/>
                <w:webHidden/>
              </w:rPr>
              <w:fldChar w:fldCharType="separate"/>
            </w:r>
            <w:r>
              <w:rPr>
                <w:noProof/>
                <w:webHidden/>
              </w:rPr>
              <w:t>27</w:t>
            </w:r>
            <w:r>
              <w:rPr>
                <w:noProof/>
                <w:webHidden/>
              </w:rPr>
              <w:fldChar w:fldCharType="end"/>
            </w:r>
          </w:hyperlink>
        </w:p>
        <w:p w14:paraId="7C3024CF" w14:textId="7AB8BAE5"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36" w:history="1">
            <w:r w:rsidRPr="005C6910">
              <w:rPr>
                <w:rStyle w:val="Collegamentoipertestuale"/>
                <w:rFonts w:eastAsiaTheme="majorEastAsia"/>
                <w:noProof/>
              </w:rPr>
              <w:t>2.1.3.</w:t>
            </w:r>
            <w:r w:rsidRPr="005C6910">
              <w:rPr>
                <w:rStyle w:val="Collegamentoipertestuale"/>
                <w:rFonts w:eastAsiaTheme="majorEastAsia"/>
                <w:smallCaps/>
                <w:noProof/>
              </w:rPr>
              <w:t xml:space="preserve"> </w:t>
            </w:r>
            <w:r w:rsidRPr="005C6910">
              <w:rPr>
                <w:rStyle w:val="Collegamentoipertestuale"/>
                <w:rFonts w:eastAsiaTheme="majorEastAsia"/>
                <w:noProof/>
              </w:rPr>
              <w:t>Honor</w:t>
            </w:r>
            <w:r>
              <w:rPr>
                <w:noProof/>
                <w:webHidden/>
              </w:rPr>
              <w:tab/>
            </w:r>
            <w:r>
              <w:rPr>
                <w:noProof/>
                <w:webHidden/>
              </w:rPr>
              <w:fldChar w:fldCharType="begin"/>
            </w:r>
            <w:r>
              <w:rPr>
                <w:noProof/>
                <w:webHidden/>
              </w:rPr>
              <w:instrText xml:space="preserve"> PAGEREF _Toc215742636 \h </w:instrText>
            </w:r>
            <w:r>
              <w:rPr>
                <w:noProof/>
                <w:webHidden/>
              </w:rPr>
            </w:r>
            <w:r>
              <w:rPr>
                <w:noProof/>
                <w:webHidden/>
              </w:rPr>
              <w:fldChar w:fldCharType="separate"/>
            </w:r>
            <w:r>
              <w:rPr>
                <w:noProof/>
                <w:webHidden/>
              </w:rPr>
              <w:t>32</w:t>
            </w:r>
            <w:r>
              <w:rPr>
                <w:noProof/>
                <w:webHidden/>
              </w:rPr>
              <w:fldChar w:fldCharType="end"/>
            </w:r>
          </w:hyperlink>
        </w:p>
        <w:p w14:paraId="5E0119D9" w14:textId="352A33C6"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37" w:history="1">
            <w:r w:rsidRPr="005C6910">
              <w:rPr>
                <w:rStyle w:val="Collegamentoipertestuale"/>
                <w:rFonts w:eastAsiaTheme="majorEastAsia"/>
                <w:noProof/>
              </w:rPr>
              <w:t>2.2. The Politics of Deference</w:t>
            </w:r>
            <w:r>
              <w:rPr>
                <w:noProof/>
                <w:webHidden/>
              </w:rPr>
              <w:tab/>
            </w:r>
            <w:r>
              <w:rPr>
                <w:noProof/>
                <w:webHidden/>
              </w:rPr>
              <w:fldChar w:fldCharType="begin"/>
            </w:r>
            <w:r>
              <w:rPr>
                <w:noProof/>
                <w:webHidden/>
              </w:rPr>
              <w:instrText xml:space="preserve"> PAGEREF _Toc215742637 \h </w:instrText>
            </w:r>
            <w:r>
              <w:rPr>
                <w:noProof/>
                <w:webHidden/>
              </w:rPr>
            </w:r>
            <w:r>
              <w:rPr>
                <w:noProof/>
                <w:webHidden/>
              </w:rPr>
              <w:fldChar w:fldCharType="separate"/>
            </w:r>
            <w:r>
              <w:rPr>
                <w:noProof/>
                <w:webHidden/>
              </w:rPr>
              <w:t>35</w:t>
            </w:r>
            <w:r>
              <w:rPr>
                <w:noProof/>
                <w:webHidden/>
              </w:rPr>
              <w:fldChar w:fldCharType="end"/>
            </w:r>
          </w:hyperlink>
        </w:p>
        <w:p w14:paraId="6B499563" w14:textId="4AFD52CB"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38" w:history="1">
            <w:r w:rsidRPr="005C6910">
              <w:rPr>
                <w:rStyle w:val="Collegamentoipertestuale"/>
                <w:rFonts w:eastAsiaTheme="majorEastAsia"/>
                <w:noProof/>
              </w:rPr>
              <w:t>2.3. The Hero-Protector Narrative</w:t>
            </w:r>
            <w:r>
              <w:rPr>
                <w:noProof/>
                <w:webHidden/>
              </w:rPr>
              <w:tab/>
            </w:r>
            <w:r>
              <w:rPr>
                <w:noProof/>
                <w:webHidden/>
              </w:rPr>
              <w:fldChar w:fldCharType="begin"/>
            </w:r>
            <w:r>
              <w:rPr>
                <w:noProof/>
                <w:webHidden/>
              </w:rPr>
              <w:instrText xml:space="preserve"> PAGEREF _Toc215742638 \h </w:instrText>
            </w:r>
            <w:r>
              <w:rPr>
                <w:noProof/>
                <w:webHidden/>
              </w:rPr>
            </w:r>
            <w:r>
              <w:rPr>
                <w:noProof/>
                <w:webHidden/>
              </w:rPr>
              <w:fldChar w:fldCharType="separate"/>
            </w:r>
            <w:r>
              <w:rPr>
                <w:noProof/>
                <w:webHidden/>
              </w:rPr>
              <w:t>38</w:t>
            </w:r>
            <w:r>
              <w:rPr>
                <w:noProof/>
                <w:webHidden/>
              </w:rPr>
              <w:fldChar w:fldCharType="end"/>
            </w:r>
          </w:hyperlink>
        </w:p>
        <w:p w14:paraId="00F4E4F7" w14:textId="08DB5AF4"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39" w:history="1">
            <w:r w:rsidRPr="005C6910">
              <w:rPr>
                <w:rStyle w:val="Collegamentoipertestuale"/>
                <w:rFonts w:eastAsiaTheme="majorEastAsia"/>
                <w:noProof/>
              </w:rPr>
              <w:t>Conclusion</w:t>
            </w:r>
            <w:r>
              <w:rPr>
                <w:noProof/>
                <w:webHidden/>
              </w:rPr>
              <w:tab/>
            </w:r>
            <w:r>
              <w:rPr>
                <w:noProof/>
                <w:webHidden/>
              </w:rPr>
              <w:fldChar w:fldCharType="begin"/>
            </w:r>
            <w:r>
              <w:rPr>
                <w:noProof/>
                <w:webHidden/>
              </w:rPr>
              <w:instrText xml:space="preserve"> PAGEREF _Toc215742639 \h </w:instrText>
            </w:r>
            <w:r>
              <w:rPr>
                <w:noProof/>
                <w:webHidden/>
              </w:rPr>
            </w:r>
            <w:r>
              <w:rPr>
                <w:noProof/>
                <w:webHidden/>
              </w:rPr>
              <w:fldChar w:fldCharType="separate"/>
            </w:r>
            <w:r>
              <w:rPr>
                <w:noProof/>
                <w:webHidden/>
              </w:rPr>
              <w:t>42</w:t>
            </w:r>
            <w:r>
              <w:rPr>
                <w:noProof/>
                <w:webHidden/>
              </w:rPr>
              <w:fldChar w:fldCharType="end"/>
            </w:r>
          </w:hyperlink>
        </w:p>
        <w:p w14:paraId="4E007DB8" w14:textId="6DCFFAAD" w:rsidR="00AD4774" w:rsidRDefault="00AD4774">
          <w:pPr>
            <w:pStyle w:val="Sommario1"/>
            <w:rPr>
              <w:rFonts w:asciiTheme="minorHAnsi" w:eastAsiaTheme="minorEastAsia" w:hAnsiTheme="minorHAnsi" w:cstheme="minorBidi"/>
              <w:noProof/>
              <w:sz w:val="22"/>
              <w:lang w:val="it-IT" w:eastAsia="it-IT"/>
            </w:rPr>
          </w:pPr>
          <w:hyperlink w:anchor="_Toc215742640" w:history="1">
            <w:r w:rsidRPr="005C6910">
              <w:rPr>
                <w:rStyle w:val="Collegamentoipertestuale"/>
                <w:rFonts w:eastAsiaTheme="majorEastAsia"/>
                <w:noProof/>
              </w:rPr>
              <w:t>3. Literature Review</w:t>
            </w:r>
            <w:r>
              <w:rPr>
                <w:noProof/>
                <w:webHidden/>
              </w:rPr>
              <w:tab/>
            </w:r>
            <w:r>
              <w:rPr>
                <w:noProof/>
                <w:webHidden/>
              </w:rPr>
              <w:fldChar w:fldCharType="begin"/>
            </w:r>
            <w:r>
              <w:rPr>
                <w:noProof/>
                <w:webHidden/>
              </w:rPr>
              <w:instrText xml:space="preserve"> PAGEREF _Toc215742640 \h </w:instrText>
            </w:r>
            <w:r>
              <w:rPr>
                <w:noProof/>
                <w:webHidden/>
              </w:rPr>
            </w:r>
            <w:r>
              <w:rPr>
                <w:noProof/>
                <w:webHidden/>
              </w:rPr>
              <w:fldChar w:fldCharType="separate"/>
            </w:r>
            <w:r>
              <w:rPr>
                <w:noProof/>
                <w:webHidden/>
              </w:rPr>
              <w:t>44</w:t>
            </w:r>
            <w:r>
              <w:rPr>
                <w:noProof/>
                <w:webHidden/>
              </w:rPr>
              <w:fldChar w:fldCharType="end"/>
            </w:r>
          </w:hyperlink>
        </w:p>
        <w:p w14:paraId="03E3D936" w14:textId="1A1C0D2A"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41" w:history="1">
            <w:r w:rsidRPr="005C6910">
              <w:rPr>
                <w:rStyle w:val="Collegamentoipertestuale"/>
                <w:rFonts w:eastAsiaTheme="majorEastAsia"/>
                <w:noProof/>
              </w:rPr>
              <w:t>Introduction</w:t>
            </w:r>
            <w:r>
              <w:rPr>
                <w:noProof/>
                <w:webHidden/>
              </w:rPr>
              <w:tab/>
            </w:r>
            <w:r>
              <w:rPr>
                <w:noProof/>
                <w:webHidden/>
              </w:rPr>
              <w:fldChar w:fldCharType="begin"/>
            </w:r>
            <w:r>
              <w:rPr>
                <w:noProof/>
                <w:webHidden/>
              </w:rPr>
              <w:instrText xml:space="preserve"> PAGEREF _Toc215742641 \h </w:instrText>
            </w:r>
            <w:r>
              <w:rPr>
                <w:noProof/>
                <w:webHidden/>
              </w:rPr>
            </w:r>
            <w:r>
              <w:rPr>
                <w:noProof/>
                <w:webHidden/>
              </w:rPr>
              <w:fldChar w:fldCharType="separate"/>
            </w:r>
            <w:r>
              <w:rPr>
                <w:noProof/>
                <w:webHidden/>
              </w:rPr>
              <w:t>44</w:t>
            </w:r>
            <w:r>
              <w:rPr>
                <w:noProof/>
                <w:webHidden/>
              </w:rPr>
              <w:fldChar w:fldCharType="end"/>
            </w:r>
          </w:hyperlink>
        </w:p>
        <w:p w14:paraId="571091A1" w14:textId="3EF63C77"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42" w:history="1">
            <w:r w:rsidRPr="005C6910">
              <w:rPr>
                <w:rStyle w:val="Collegamentoipertestuale"/>
                <w:rFonts w:eastAsiaTheme="majorEastAsia"/>
                <w:noProof/>
              </w:rPr>
              <w:t>3.1. The Nagorno-Karabakh Conflict</w:t>
            </w:r>
            <w:r>
              <w:rPr>
                <w:noProof/>
                <w:webHidden/>
              </w:rPr>
              <w:tab/>
            </w:r>
            <w:r>
              <w:rPr>
                <w:noProof/>
                <w:webHidden/>
              </w:rPr>
              <w:fldChar w:fldCharType="begin"/>
            </w:r>
            <w:r>
              <w:rPr>
                <w:noProof/>
                <w:webHidden/>
              </w:rPr>
              <w:instrText xml:space="preserve"> PAGEREF _Toc215742642 \h </w:instrText>
            </w:r>
            <w:r>
              <w:rPr>
                <w:noProof/>
                <w:webHidden/>
              </w:rPr>
            </w:r>
            <w:r>
              <w:rPr>
                <w:noProof/>
                <w:webHidden/>
              </w:rPr>
              <w:fldChar w:fldCharType="separate"/>
            </w:r>
            <w:r>
              <w:rPr>
                <w:noProof/>
                <w:webHidden/>
              </w:rPr>
              <w:t>45</w:t>
            </w:r>
            <w:r>
              <w:rPr>
                <w:noProof/>
                <w:webHidden/>
              </w:rPr>
              <w:fldChar w:fldCharType="end"/>
            </w:r>
          </w:hyperlink>
        </w:p>
        <w:p w14:paraId="31AFC35A" w14:textId="21798398"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43" w:history="1">
            <w:r w:rsidRPr="005C6910">
              <w:rPr>
                <w:rStyle w:val="Collegamentoipertestuale"/>
                <w:rFonts w:eastAsiaTheme="majorEastAsia"/>
                <w:noProof/>
              </w:rPr>
              <w:t>3.1.1. The First War (1988-1994)</w:t>
            </w:r>
            <w:r>
              <w:rPr>
                <w:noProof/>
                <w:webHidden/>
              </w:rPr>
              <w:tab/>
            </w:r>
            <w:r>
              <w:rPr>
                <w:noProof/>
                <w:webHidden/>
              </w:rPr>
              <w:fldChar w:fldCharType="begin"/>
            </w:r>
            <w:r>
              <w:rPr>
                <w:noProof/>
                <w:webHidden/>
              </w:rPr>
              <w:instrText xml:space="preserve"> PAGEREF _Toc215742643 \h </w:instrText>
            </w:r>
            <w:r>
              <w:rPr>
                <w:noProof/>
                <w:webHidden/>
              </w:rPr>
            </w:r>
            <w:r>
              <w:rPr>
                <w:noProof/>
                <w:webHidden/>
              </w:rPr>
              <w:fldChar w:fldCharType="separate"/>
            </w:r>
            <w:r>
              <w:rPr>
                <w:noProof/>
                <w:webHidden/>
              </w:rPr>
              <w:t>47</w:t>
            </w:r>
            <w:r>
              <w:rPr>
                <w:noProof/>
                <w:webHidden/>
              </w:rPr>
              <w:fldChar w:fldCharType="end"/>
            </w:r>
          </w:hyperlink>
        </w:p>
        <w:p w14:paraId="3EE622D2" w14:textId="369FDDAC"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44" w:history="1">
            <w:r w:rsidRPr="005C6910">
              <w:rPr>
                <w:rStyle w:val="Collegamentoipertestuale"/>
                <w:rFonts w:eastAsiaTheme="majorEastAsia"/>
                <w:noProof/>
              </w:rPr>
              <w:t>3.1.2.  The Interwar Period (1995-2019)</w:t>
            </w:r>
            <w:r>
              <w:rPr>
                <w:noProof/>
                <w:webHidden/>
              </w:rPr>
              <w:tab/>
            </w:r>
            <w:r>
              <w:rPr>
                <w:noProof/>
                <w:webHidden/>
              </w:rPr>
              <w:fldChar w:fldCharType="begin"/>
            </w:r>
            <w:r>
              <w:rPr>
                <w:noProof/>
                <w:webHidden/>
              </w:rPr>
              <w:instrText xml:space="preserve"> PAGEREF _Toc215742644 \h </w:instrText>
            </w:r>
            <w:r>
              <w:rPr>
                <w:noProof/>
                <w:webHidden/>
              </w:rPr>
            </w:r>
            <w:r>
              <w:rPr>
                <w:noProof/>
                <w:webHidden/>
              </w:rPr>
              <w:fldChar w:fldCharType="separate"/>
            </w:r>
            <w:r>
              <w:rPr>
                <w:noProof/>
                <w:webHidden/>
              </w:rPr>
              <w:t>48</w:t>
            </w:r>
            <w:r>
              <w:rPr>
                <w:noProof/>
                <w:webHidden/>
              </w:rPr>
              <w:fldChar w:fldCharType="end"/>
            </w:r>
          </w:hyperlink>
        </w:p>
        <w:p w14:paraId="1DD2A4F0" w14:textId="2190131D"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45" w:history="1">
            <w:r w:rsidRPr="005C6910">
              <w:rPr>
                <w:rStyle w:val="Collegamentoipertestuale"/>
                <w:rFonts w:eastAsiaTheme="majorEastAsia"/>
                <w:noProof/>
              </w:rPr>
              <w:t>3.1.3.  The Second War (2020)</w:t>
            </w:r>
            <w:r>
              <w:rPr>
                <w:noProof/>
                <w:webHidden/>
              </w:rPr>
              <w:tab/>
            </w:r>
            <w:r>
              <w:rPr>
                <w:noProof/>
                <w:webHidden/>
              </w:rPr>
              <w:fldChar w:fldCharType="begin"/>
            </w:r>
            <w:r>
              <w:rPr>
                <w:noProof/>
                <w:webHidden/>
              </w:rPr>
              <w:instrText xml:space="preserve"> PAGEREF _Toc215742645 \h </w:instrText>
            </w:r>
            <w:r>
              <w:rPr>
                <w:noProof/>
                <w:webHidden/>
              </w:rPr>
            </w:r>
            <w:r>
              <w:rPr>
                <w:noProof/>
                <w:webHidden/>
              </w:rPr>
              <w:fldChar w:fldCharType="separate"/>
            </w:r>
            <w:r>
              <w:rPr>
                <w:noProof/>
                <w:webHidden/>
              </w:rPr>
              <w:t>50</w:t>
            </w:r>
            <w:r>
              <w:rPr>
                <w:noProof/>
                <w:webHidden/>
              </w:rPr>
              <w:fldChar w:fldCharType="end"/>
            </w:r>
          </w:hyperlink>
        </w:p>
        <w:p w14:paraId="350E4C14" w14:textId="1FDB6C15"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46" w:history="1">
            <w:r w:rsidRPr="005C6910">
              <w:rPr>
                <w:rStyle w:val="Collegamentoipertestuale"/>
                <w:rFonts w:eastAsiaTheme="majorEastAsia"/>
                <w:noProof/>
              </w:rPr>
              <w:t>3.1.4.  The Second Interwar Period and the Third War (2021-2024)</w:t>
            </w:r>
            <w:r>
              <w:rPr>
                <w:noProof/>
                <w:webHidden/>
              </w:rPr>
              <w:tab/>
            </w:r>
            <w:r>
              <w:rPr>
                <w:noProof/>
                <w:webHidden/>
              </w:rPr>
              <w:fldChar w:fldCharType="begin"/>
            </w:r>
            <w:r>
              <w:rPr>
                <w:noProof/>
                <w:webHidden/>
              </w:rPr>
              <w:instrText xml:space="preserve"> PAGEREF _Toc215742646 \h </w:instrText>
            </w:r>
            <w:r>
              <w:rPr>
                <w:noProof/>
                <w:webHidden/>
              </w:rPr>
            </w:r>
            <w:r>
              <w:rPr>
                <w:noProof/>
                <w:webHidden/>
              </w:rPr>
              <w:fldChar w:fldCharType="separate"/>
            </w:r>
            <w:r>
              <w:rPr>
                <w:noProof/>
                <w:webHidden/>
              </w:rPr>
              <w:t>51</w:t>
            </w:r>
            <w:r>
              <w:rPr>
                <w:noProof/>
                <w:webHidden/>
              </w:rPr>
              <w:fldChar w:fldCharType="end"/>
            </w:r>
          </w:hyperlink>
        </w:p>
        <w:p w14:paraId="00895A49" w14:textId="5AA4906F"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47" w:history="1">
            <w:r w:rsidRPr="005C6910">
              <w:rPr>
                <w:rStyle w:val="Collegamentoipertestuale"/>
                <w:rFonts w:eastAsiaTheme="majorEastAsia"/>
                <w:noProof/>
              </w:rPr>
              <w:t>3.2.  Russia’s Practices and Interests in the Conflict</w:t>
            </w:r>
            <w:r>
              <w:rPr>
                <w:noProof/>
                <w:webHidden/>
              </w:rPr>
              <w:tab/>
            </w:r>
            <w:r>
              <w:rPr>
                <w:noProof/>
                <w:webHidden/>
              </w:rPr>
              <w:fldChar w:fldCharType="begin"/>
            </w:r>
            <w:r>
              <w:rPr>
                <w:noProof/>
                <w:webHidden/>
              </w:rPr>
              <w:instrText xml:space="preserve"> PAGEREF _Toc215742647 \h </w:instrText>
            </w:r>
            <w:r>
              <w:rPr>
                <w:noProof/>
                <w:webHidden/>
              </w:rPr>
            </w:r>
            <w:r>
              <w:rPr>
                <w:noProof/>
                <w:webHidden/>
              </w:rPr>
              <w:fldChar w:fldCharType="separate"/>
            </w:r>
            <w:r>
              <w:rPr>
                <w:noProof/>
                <w:webHidden/>
              </w:rPr>
              <w:t>52</w:t>
            </w:r>
            <w:r>
              <w:rPr>
                <w:noProof/>
                <w:webHidden/>
              </w:rPr>
              <w:fldChar w:fldCharType="end"/>
            </w:r>
          </w:hyperlink>
        </w:p>
        <w:p w14:paraId="30594CC8" w14:textId="45C7F41D"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48" w:history="1">
            <w:r w:rsidRPr="005C6910">
              <w:rPr>
                <w:rStyle w:val="Collegamentoipertestuale"/>
                <w:rFonts w:eastAsiaTheme="majorEastAsia"/>
                <w:noProof/>
              </w:rPr>
              <w:t>3.2.1.  The First War</w:t>
            </w:r>
            <w:r>
              <w:rPr>
                <w:noProof/>
                <w:webHidden/>
              </w:rPr>
              <w:tab/>
            </w:r>
            <w:r>
              <w:rPr>
                <w:noProof/>
                <w:webHidden/>
              </w:rPr>
              <w:fldChar w:fldCharType="begin"/>
            </w:r>
            <w:r>
              <w:rPr>
                <w:noProof/>
                <w:webHidden/>
              </w:rPr>
              <w:instrText xml:space="preserve"> PAGEREF _Toc215742648 \h </w:instrText>
            </w:r>
            <w:r>
              <w:rPr>
                <w:noProof/>
                <w:webHidden/>
              </w:rPr>
            </w:r>
            <w:r>
              <w:rPr>
                <w:noProof/>
                <w:webHidden/>
              </w:rPr>
              <w:fldChar w:fldCharType="separate"/>
            </w:r>
            <w:r>
              <w:rPr>
                <w:noProof/>
                <w:webHidden/>
              </w:rPr>
              <w:t>52</w:t>
            </w:r>
            <w:r>
              <w:rPr>
                <w:noProof/>
                <w:webHidden/>
              </w:rPr>
              <w:fldChar w:fldCharType="end"/>
            </w:r>
          </w:hyperlink>
        </w:p>
        <w:p w14:paraId="6CE35937" w14:textId="4CA1CFB2"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49" w:history="1">
            <w:r w:rsidRPr="005C6910">
              <w:rPr>
                <w:rStyle w:val="Collegamentoipertestuale"/>
                <w:rFonts w:eastAsiaTheme="majorEastAsia"/>
                <w:noProof/>
              </w:rPr>
              <w:t>3.2.2.  The First Interwar Period and the Second War</w:t>
            </w:r>
            <w:r>
              <w:rPr>
                <w:noProof/>
                <w:webHidden/>
              </w:rPr>
              <w:tab/>
            </w:r>
            <w:r>
              <w:rPr>
                <w:noProof/>
                <w:webHidden/>
              </w:rPr>
              <w:fldChar w:fldCharType="begin"/>
            </w:r>
            <w:r>
              <w:rPr>
                <w:noProof/>
                <w:webHidden/>
              </w:rPr>
              <w:instrText xml:space="preserve"> PAGEREF _Toc215742649 \h </w:instrText>
            </w:r>
            <w:r>
              <w:rPr>
                <w:noProof/>
                <w:webHidden/>
              </w:rPr>
            </w:r>
            <w:r>
              <w:rPr>
                <w:noProof/>
                <w:webHidden/>
              </w:rPr>
              <w:fldChar w:fldCharType="separate"/>
            </w:r>
            <w:r>
              <w:rPr>
                <w:noProof/>
                <w:webHidden/>
              </w:rPr>
              <w:t>55</w:t>
            </w:r>
            <w:r>
              <w:rPr>
                <w:noProof/>
                <w:webHidden/>
              </w:rPr>
              <w:fldChar w:fldCharType="end"/>
            </w:r>
          </w:hyperlink>
        </w:p>
        <w:p w14:paraId="68E28009" w14:textId="3363B860"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0" w:history="1">
            <w:r w:rsidRPr="005C6910">
              <w:rPr>
                <w:rStyle w:val="Collegamentoipertestuale"/>
                <w:rFonts w:eastAsiaTheme="majorEastAsia"/>
                <w:noProof/>
              </w:rPr>
              <w:t>3.2.2.1.  Armenia’s Ally, Azerbaijan’s Strategic Partner</w:t>
            </w:r>
            <w:r>
              <w:rPr>
                <w:noProof/>
                <w:webHidden/>
              </w:rPr>
              <w:tab/>
            </w:r>
            <w:r>
              <w:rPr>
                <w:noProof/>
                <w:webHidden/>
              </w:rPr>
              <w:fldChar w:fldCharType="begin"/>
            </w:r>
            <w:r>
              <w:rPr>
                <w:noProof/>
                <w:webHidden/>
              </w:rPr>
              <w:instrText xml:space="preserve"> PAGEREF _Toc215742650 \h </w:instrText>
            </w:r>
            <w:r>
              <w:rPr>
                <w:noProof/>
                <w:webHidden/>
              </w:rPr>
            </w:r>
            <w:r>
              <w:rPr>
                <w:noProof/>
                <w:webHidden/>
              </w:rPr>
              <w:fldChar w:fldCharType="separate"/>
            </w:r>
            <w:r>
              <w:rPr>
                <w:noProof/>
                <w:webHidden/>
              </w:rPr>
              <w:t>56</w:t>
            </w:r>
            <w:r>
              <w:rPr>
                <w:noProof/>
                <w:webHidden/>
              </w:rPr>
              <w:fldChar w:fldCharType="end"/>
            </w:r>
          </w:hyperlink>
        </w:p>
        <w:p w14:paraId="5456D4D3" w14:textId="61C1043D"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1" w:history="1">
            <w:r w:rsidRPr="005C6910">
              <w:rPr>
                <w:rStyle w:val="Collegamentoipertestuale"/>
                <w:rFonts w:eastAsiaTheme="majorEastAsia"/>
                <w:noProof/>
              </w:rPr>
              <w:t>3.2.2.2.  The Role of Turkey</w:t>
            </w:r>
            <w:r>
              <w:rPr>
                <w:noProof/>
                <w:webHidden/>
              </w:rPr>
              <w:tab/>
            </w:r>
            <w:r>
              <w:rPr>
                <w:noProof/>
                <w:webHidden/>
              </w:rPr>
              <w:fldChar w:fldCharType="begin"/>
            </w:r>
            <w:r>
              <w:rPr>
                <w:noProof/>
                <w:webHidden/>
              </w:rPr>
              <w:instrText xml:space="preserve"> PAGEREF _Toc215742651 \h </w:instrText>
            </w:r>
            <w:r>
              <w:rPr>
                <w:noProof/>
                <w:webHidden/>
              </w:rPr>
            </w:r>
            <w:r>
              <w:rPr>
                <w:noProof/>
                <w:webHidden/>
              </w:rPr>
              <w:fldChar w:fldCharType="separate"/>
            </w:r>
            <w:r>
              <w:rPr>
                <w:noProof/>
                <w:webHidden/>
              </w:rPr>
              <w:t>57</w:t>
            </w:r>
            <w:r>
              <w:rPr>
                <w:noProof/>
                <w:webHidden/>
              </w:rPr>
              <w:fldChar w:fldCharType="end"/>
            </w:r>
          </w:hyperlink>
        </w:p>
        <w:p w14:paraId="222F90A6" w14:textId="3670F48F"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2" w:history="1">
            <w:r w:rsidRPr="005C6910">
              <w:rPr>
                <w:rStyle w:val="Collegamentoipertestuale"/>
                <w:rFonts w:eastAsiaTheme="majorEastAsia"/>
                <w:noProof/>
              </w:rPr>
              <w:t>3.2.2.3.  Main Mediator, Main Weapons’ Supplier</w:t>
            </w:r>
            <w:r>
              <w:rPr>
                <w:noProof/>
                <w:webHidden/>
              </w:rPr>
              <w:tab/>
            </w:r>
            <w:r>
              <w:rPr>
                <w:noProof/>
                <w:webHidden/>
              </w:rPr>
              <w:fldChar w:fldCharType="begin"/>
            </w:r>
            <w:r>
              <w:rPr>
                <w:noProof/>
                <w:webHidden/>
              </w:rPr>
              <w:instrText xml:space="preserve"> PAGEREF _Toc215742652 \h </w:instrText>
            </w:r>
            <w:r>
              <w:rPr>
                <w:noProof/>
                <w:webHidden/>
              </w:rPr>
            </w:r>
            <w:r>
              <w:rPr>
                <w:noProof/>
                <w:webHidden/>
              </w:rPr>
              <w:fldChar w:fldCharType="separate"/>
            </w:r>
            <w:r>
              <w:rPr>
                <w:noProof/>
                <w:webHidden/>
              </w:rPr>
              <w:t>60</w:t>
            </w:r>
            <w:r>
              <w:rPr>
                <w:noProof/>
                <w:webHidden/>
              </w:rPr>
              <w:fldChar w:fldCharType="end"/>
            </w:r>
          </w:hyperlink>
        </w:p>
        <w:p w14:paraId="15CCFCA9" w14:textId="4C3D6E7F"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3" w:history="1">
            <w:r w:rsidRPr="005C6910">
              <w:rPr>
                <w:rStyle w:val="Collegamentoipertestuale"/>
                <w:rFonts w:eastAsiaTheme="majorEastAsia"/>
                <w:noProof/>
              </w:rPr>
              <w:t>3.2.2.4.  Cooperation and Rivalry with the West</w:t>
            </w:r>
            <w:r>
              <w:rPr>
                <w:noProof/>
                <w:webHidden/>
              </w:rPr>
              <w:tab/>
            </w:r>
            <w:r>
              <w:rPr>
                <w:noProof/>
                <w:webHidden/>
              </w:rPr>
              <w:fldChar w:fldCharType="begin"/>
            </w:r>
            <w:r>
              <w:rPr>
                <w:noProof/>
                <w:webHidden/>
              </w:rPr>
              <w:instrText xml:space="preserve"> PAGEREF _Toc215742653 \h </w:instrText>
            </w:r>
            <w:r>
              <w:rPr>
                <w:noProof/>
                <w:webHidden/>
              </w:rPr>
            </w:r>
            <w:r>
              <w:rPr>
                <w:noProof/>
                <w:webHidden/>
              </w:rPr>
              <w:fldChar w:fldCharType="separate"/>
            </w:r>
            <w:r>
              <w:rPr>
                <w:noProof/>
                <w:webHidden/>
              </w:rPr>
              <w:t>64</w:t>
            </w:r>
            <w:r>
              <w:rPr>
                <w:noProof/>
                <w:webHidden/>
              </w:rPr>
              <w:fldChar w:fldCharType="end"/>
            </w:r>
          </w:hyperlink>
        </w:p>
        <w:p w14:paraId="74059664" w14:textId="2685E6C5"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4" w:history="1">
            <w:r w:rsidRPr="005C6910">
              <w:rPr>
                <w:rStyle w:val="Collegamentoipertestuale"/>
                <w:rFonts w:eastAsiaTheme="majorEastAsia"/>
                <w:noProof/>
              </w:rPr>
              <w:t>3.2.3.  The End of the Nagorno-Karabakh Republic</w:t>
            </w:r>
            <w:r>
              <w:rPr>
                <w:noProof/>
                <w:webHidden/>
              </w:rPr>
              <w:tab/>
            </w:r>
            <w:r>
              <w:rPr>
                <w:noProof/>
                <w:webHidden/>
              </w:rPr>
              <w:fldChar w:fldCharType="begin"/>
            </w:r>
            <w:r>
              <w:rPr>
                <w:noProof/>
                <w:webHidden/>
              </w:rPr>
              <w:instrText xml:space="preserve"> PAGEREF _Toc215742654 \h </w:instrText>
            </w:r>
            <w:r>
              <w:rPr>
                <w:noProof/>
                <w:webHidden/>
              </w:rPr>
            </w:r>
            <w:r>
              <w:rPr>
                <w:noProof/>
                <w:webHidden/>
              </w:rPr>
              <w:fldChar w:fldCharType="separate"/>
            </w:r>
            <w:r>
              <w:rPr>
                <w:noProof/>
                <w:webHidden/>
              </w:rPr>
              <w:t>66</w:t>
            </w:r>
            <w:r>
              <w:rPr>
                <w:noProof/>
                <w:webHidden/>
              </w:rPr>
              <w:fldChar w:fldCharType="end"/>
            </w:r>
          </w:hyperlink>
        </w:p>
        <w:p w14:paraId="1567609C" w14:textId="2721E05D"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55" w:history="1">
            <w:r w:rsidRPr="005C6910">
              <w:rPr>
                <w:rStyle w:val="Collegamentoipertestuale"/>
                <w:rFonts w:eastAsiaTheme="majorEastAsia"/>
                <w:noProof/>
              </w:rPr>
              <w:t>3.3. The Constructivist Turn in Russian Foreign Policy</w:t>
            </w:r>
            <w:r>
              <w:rPr>
                <w:noProof/>
                <w:webHidden/>
              </w:rPr>
              <w:tab/>
            </w:r>
            <w:r>
              <w:rPr>
                <w:noProof/>
                <w:webHidden/>
              </w:rPr>
              <w:fldChar w:fldCharType="begin"/>
            </w:r>
            <w:r>
              <w:rPr>
                <w:noProof/>
                <w:webHidden/>
              </w:rPr>
              <w:instrText xml:space="preserve"> PAGEREF _Toc215742655 \h </w:instrText>
            </w:r>
            <w:r>
              <w:rPr>
                <w:noProof/>
                <w:webHidden/>
              </w:rPr>
            </w:r>
            <w:r>
              <w:rPr>
                <w:noProof/>
                <w:webHidden/>
              </w:rPr>
              <w:fldChar w:fldCharType="separate"/>
            </w:r>
            <w:r>
              <w:rPr>
                <w:noProof/>
                <w:webHidden/>
              </w:rPr>
              <w:t>68</w:t>
            </w:r>
            <w:r>
              <w:rPr>
                <w:noProof/>
                <w:webHidden/>
              </w:rPr>
              <w:fldChar w:fldCharType="end"/>
            </w:r>
          </w:hyperlink>
        </w:p>
        <w:p w14:paraId="39F1F1E7" w14:textId="2B6322FC"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6" w:history="1">
            <w:r w:rsidRPr="005C6910">
              <w:rPr>
                <w:rStyle w:val="Collegamentoipertestuale"/>
                <w:rFonts w:eastAsiaTheme="majorEastAsia"/>
                <w:noProof/>
              </w:rPr>
              <w:t>3.1.4.  Biographical (dis)Continuity</w:t>
            </w:r>
            <w:r>
              <w:rPr>
                <w:noProof/>
                <w:webHidden/>
              </w:rPr>
              <w:tab/>
            </w:r>
            <w:r>
              <w:rPr>
                <w:noProof/>
                <w:webHidden/>
              </w:rPr>
              <w:fldChar w:fldCharType="begin"/>
            </w:r>
            <w:r>
              <w:rPr>
                <w:noProof/>
                <w:webHidden/>
              </w:rPr>
              <w:instrText xml:space="preserve"> PAGEREF _Toc215742656 \h </w:instrText>
            </w:r>
            <w:r>
              <w:rPr>
                <w:noProof/>
                <w:webHidden/>
              </w:rPr>
            </w:r>
            <w:r>
              <w:rPr>
                <w:noProof/>
                <w:webHidden/>
              </w:rPr>
              <w:fldChar w:fldCharType="separate"/>
            </w:r>
            <w:r>
              <w:rPr>
                <w:noProof/>
                <w:webHidden/>
              </w:rPr>
              <w:t>69</w:t>
            </w:r>
            <w:r>
              <w:rPr>
                <w:noProof/>
                <w:webHidden/>
              </w:rPr>
              <w:fldChar w:fldCharType="end"/>
            </w:r>
          </w:hyperlink>
        </w:p>
        <w:p w14:paraId="11D9EB5C" w14:textId="03E77FFE"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7" w:history="1">
            <w:r w:rsidRPr="005C6910">
              <w:rPr>
                <w:rStyle w:val="Collegamentoipertestuale"/>
                <w:rFonts w:eastAsiaTheme="majorEastAsia"/>
                <w:noProof/>
              </w:rPr>
              <w:t>3.3.2.  The Threat of Disintegration</w:t>
            </w:r>
            <w:r>
              <w:rPr>
                <w:noProof/>
                <w:webHidden/>
              </w:rPr>
              <w:tab/>
            </w:r>
            <w:r>
              <w:rPr>
                <w:noProof/>
                <w:webHidden/>
              </w:rPr>
              <w:fldChar w:fldCharType="begin"/>
            </w:r>
            <w:r>
              <w:rPr>
                <w:noProof/>
                <w:webHidden/>
              </w:rPr>
              <w:instrText xml:space="preserve"> PAGEREF _Toc215742657 \h </w:instrText>
            </w:r>
            <w:r>
              <w:rPr>
                <w:noProof/>
                <w:webHidden/>
              </w:rPr>
            </w:r>
            <w:r>
              <w:rPr>
                <w:noProof/>
                <w:webHidden/>
              </w:rPr>
              <w:fldChar w:fldCharType="separate"/>
            </w:r>
            <w:r>
              <w:rPr>
                <w:noProof/>
                <w:webHidden/>
              </w:rPr>
              <w:t>73</w:t>
            </w:r>
            <w:r>
              <w:rPr>
                <w:noProof/>
                <w:webHidden/>
              </w:rPr>
              <w:fldChar w:fldCharType="end"/>
            </w:r>
          </w:hyperlink>
        </w:p>
        <w:p w14:paraId="7026E3FD" w14:textId="6129780C"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8" w:history="1">
            <w:r w:rsidRPr="005C6910">
              <w:rPr>
                <w:rStyle w:val="Collegamentoipertestuale"/>
                <w:rFonts w:eastAsiaTheme="majorEastAsia"/>
                <w:noProof/>
              </w:rPr>
              <w:t>3.3.3.  Russia as an Unrecognized Great Power</w:t>
            </w:r>
            <w:r>
              <w:rPr>
                <w:noProof/>
                <w:webHidden/>
              </w:rPr>
              <w:tab/>
            </w:r>
            <w:r>
              <w:rPr>
                <w:noProof/>
                <w:webHidden/>
              </w:rPr>
              <w:fldChar w:fldCharType="begin"/>
            </w:r>
            <w:r>
              <w:rPr>
                <w:noProof/>
                <w:webHidden/>
              </w:rPr>
              <w:instrText xml:space="preserve"> PAGEREF _Toc215742658 \h </w:instrText>
            </w:r>
            <w:r>
              <w:rPr>
                <w:noProof/>
                <w:webHidden/>
              </w:rPr>
            </w:r>
            <w:r>
              <w:rPr>
                <w:noProof/>
                <w:webHidden/>
              </w:rPr>
              <w:fldChar w:fldCharType="separate"/>
            </w:r>
            <w:r>
              <w:rPr>
                <w:noProof/>
                <w:webHidden/>
              </w:rPr>
              <w:t>75</w:t>
            </w:r>
            <w:r>
              <w:rPr>
                <w:noProof/>
                <w:webHidden/>
              </w:rPr>
              <w:fldChar w:fldCharType="end"/>
            </w:r>
          </w:hyperlink>
        </w:p>
        <w:p w14:paraId="1F054A43" w14:textId="64A409C0"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59" w:history="1">
            <w:r w:rsidRPr="005C6910">
              <w:rPr>
                <w:rStyle w:val="Collegamentoipertestuale"/>
                <w:rFonts w:eastAsiaTheme="majorEastAsia"/>
                <w:noProof/>
              </w:rPr>
              <w:t>3.3.4.  Moral Subjectivity and Cultural Allies</w:t>
            </w:r>
            <w:r>
              <w:rPr>
                <w:noProof/>
                <w:webHidden/>
              </w:rPr>
              <w:tab/>
            </w:r>
            <w:r>
              <w:rPr>
                <w:noProof/>
                <w:webHidden/>
              </w:rPr>
              <w:fldChar w:fldCharType="begin"/>
            </w:r>
            <w:r>
              <w:rPr>
                <w:noProof/>
                <w:webHidden/>
              </w:rPr>
              <w:instrText xml:space="preserve"> PAGEREF _Toc215742659 \h </w:instrText>
            </w:r>
            <w:r>
              <w:rPr>
                <w:noProof/>
                <w:webHidden/>
              </w:rPr>
            </w:r>
            <w:r>
              <w:rPr>
                <w:noProof/>
                <w:webHidden/>
              </w:rPr>
              <w:fldChar w:fldCharType="separate"/>
            </w:r>
            <w:r>
              <w:rPr>
                <w:noProof/>
                <w:webHidden/>
              </w:rPr>
              <w:t>78</w:t>
            </w:r>
            <w:r>
              <w:rPr>
                <w:noProof/>
                <w:webHidden/>
              </w:rPr>
              <w:fldChar w:fldCharType="end"/>
            </w:r>
          </w:hyperlink>
        </w:p>
        <w:p w14:paraId="28FEAECE" w14:textId="5E5F067A"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60" w:history="1">
            <w:r w:rsidRPr="005C6910">
              <w:rPr>
                <w:rStyle w:val="Collegamentoipertestuale"/>
                <w:rFonts w:eastAsiaTheme="majorEastAsia"/>
                <w:noProof/>
              </w:rPr>
              <w:t>Conclusion</w:t>
            </w:r>
            <w:r>
              <w:rPr>
                <w:noProof/>
                <w:webHidden/>
              </w:rPr>
              <w:tab/>
            </w:r>
            <w:r>
              <w:rPr>
                <w:noProof/>
                <w:webHidden/>
              </w:rPr>
              <w:fldChar w:fldCharType="begin"/>
            </w:r>
            <w:r>
              <w:rPr>
                <w:noProof/>
                <w:webHidden/>
              </w:rPr>
              <w:instrText xml:space="preserve"> PAGEREF _Toc215742660 \h </w:instrText>
            </w:r>
            <w:r>
              <w:rPr>
                <w:noProof/>
                <w:webHidden/>
              </w:rPr>
            </w:r>
            <w:r>
              <w:rPr>
                <w:noProof/>
                <w:webHidden/>
              </w:rPr>
              <w:fldChar w:fldCharType="separate"/>
            </w:r>
            <w:r>
              <w:rPr>
                <w:noProof/>
                <w:webHidden/>
              </w:rPr>
              <w:t>84</w:t>
            </w:r>
            <w:r>
              <w:rPr>
                <w:noProof/>
                <w:webHidden/>
              </w:rPr>
              <w:fldChar w:fldCharType="end"/>
            </w:r>
          </w:hyperlink>
        </w:p>
        <w:p w14:paraId="4D84CCBB" w14:textId="2F0A44D8" w:rsidR="00AD4774" w:rsidRDefault="00AD4774">
          <w:pPr>
            <w:pStyle w:val="Sommario1"/>
            <w:rPr>
              <w:rFonts w:asciiTheme="minorHAnsi" w:eastAsiaTheme="minorEastAsia" w:hAnsiTheme="minorHAnsi" w:cstheme="minorBidi"/>
              <w:noProof/>
              <w:sz w:val="22"/>
              <w:lang w:val="it-IT" w:eastAsia="it-IT"/>
            </w:rPr>
          </w:pPr>
          <w:hyperlink w:anchor="_Toc215742661" w:history="1">
            <w:r w:rsidRPr="005C6910">
              <w:rPr>
                <w:rStyle w:val="Collegamentoipertestuale"/>
                <w:rFonts w:eastAsiaTheme="majorEastAsia"/>
                <w:noProof/>
              </w:rPr>
              <w:t>4. Methodology</w:t>
            </w:r>
            <w:r>
              <w:rPr>
                <w:noProof/>
                <w:webHidden/>
              </w:rPr>
              <w:tab/>
            </w:r>
            <w:r>
              <w:rPr>
                <w:noProof/>
                <w:webHidden/>
              </w:rPr>
              <w:fldChar w:fldCharType="begin"/>
            </w:r>
            <w:r>
              <w:rPr>
                <w:noProof/>
                <w:webHidden/>
              </w:rPr>
              <w:instrText xml:space="preserve"> PAGEREF _Toc215742661 \h </w:instrText>
            </w:r>
            <w:r>
              <w:rPr>
                <w:noProof/>
                <w:webHidden/>
              </w:rPr>
            </w:r>
            <w:r>
              <w:rPr>
                <w:noProof/>
                <w:webHidden/>
              </w:rPr>
              <w:fldChar w:fldCharType="separate"/>
            </w:r>
            <w:r>
              <w:rPr>
                <w:noProof/>
                <w:webHidden/>
              </w:rPr>
              <w:t>85</w:t>
            </w:r>
            <w:r>
              <w:rPr>
                <w:noProof/>
                <w:webHidden/>
              </w:rPr>
              <w:fldChar w:fldCharType="end"/>
            </w:r>
          </w:hyperlink>
        </w:p>
        <w:p w14:paraId="7AAF0F1A" w14:textId="4583FF47"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62" w:history="1">
            <w:r w:rsidRPr="005C6910">
              <w:rPr>
                <w:rStyle w:val="Collegamentoipertestuale"/>
                <w:rFonts w:eastAsiaTheme="majorEastAsia"/>
                <w:noProof/>
              </w:rPr>
              <w:t>Introduction</w:t>
            </w:r>
            <w:r>
              <w:rPr>
                <w:noProof/>
                <w:webHidden/>
              </w:rPr>
              <w:tab/>
            </w:r>
            <w:r>
              <w:rPr>
                <w:noProof/>
                <w:webHidden/>
              </w:rPr>
              <w:fldChar w:fldCharType="begin"/>
            </w:r>
            <w:r>
              <w:rPr>
                <w:noProof/>
                <w:webHidden/>
              </w:rPr>
              <w:instrText xml:space="preserve"> PAGEREF _Toc215742662 \h </w:instrText>
            </w:r>
            <w:r>
              <w:rPr>
                <w:noProof/>
                <w:webHidden/>
              </w:rPr>
            </w:r>
            <w:r>
              <w:rPr>
                <w:noProof/>
                <w:webHidden/>
              </w:rPr>
              <w:fldChar w:fldCharType="separate"/>
            </w:r>
            <w:r>
              <w:rPr>
                <w:noProof/>
                <w:webHidden/>
              </w:rPr>
              <w:t>85</w:t>
            </w:r>
            <w:r>
              <w:rPr>
                <w:noProof/>
                <w:webHidden/>
              </w:rPr>
              <w:fldChar w:fldCharType="end"/>
            </w:r>
          </w:hyperlink>
        </w:p>
        <w:p w14:paraId="28E34B3D" w14:textId="5850D82A"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63" w:history="1">
            <w:r w:rsidRPr="005C6910">
              <w:rPr>
                <w:rStyle w:val="Collegamentoipertestuale"/>
                <w:rFonts w:eastAsiaTheme="majorEastAsia"/>
                <w:noProof/>
              </w:rPr>
              <w:t>4.1. Research Philosophy</w:t>
            </w:r>
            <w:r>
              <w:rPr>
                <w:noProof/>
                <w:webHidden/>
              </w:rPr>
              <w:tab/>
            </w:r>
            <w:r>
              <w:rPr>
                <w:noProof/>
                <w:webHidden/>
              </w:rPr>
              <w:fldChar w:fldCharType="begin"/>
            </w:r>
            <w:r>
              <w:rPr>
                <w:noProof/>
                <w:webHidden/>
              </w:rPr>
              <w:instrText xml:space="preserve"> PAGEREF _Toc215742663 \h </w:instrText>
            </w:r>
            <w:r>
              <w:rPr>
                <w:noProof/>
                <w:webHidden/>
              </w:rPr>
            </w:r>
            <w:r>
              <w:rPr>
                <w:noProof/>
                <w:webHidden/>
              </w:rPr>
              <w:fldChar w:fldCharType="separate"/>
            </w:r>
            <w:r>
              <w:rPr>
                <w:noProof/>
                <w:webHidden/>
              </w:rPr>
              <w:t>86</w:t>
            </w:r>
            <w:r>
              <w:rPr>
                <w:noProof/>
                <w:webHidden/>
              </w:rPr>
              <w:fldChar w:fldCharType="end"/>
            </w:r>
          </w:hyperlink>
        </w:p>
        <w:p w14:paraId="32CA2121" w14:textId="5E21164E"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64" w:history="1">
            <w:r w:rsidRPr="005C6910">
              <w:rPr>
                <w:rStyle w:val="Collegamentoipertestuale"/>
                <w:rFonts w:eastAsiaTheme="majorEastAsia"/>
                <w:noProof/>
              </w:rPr>
              <w:t>4.2.Approach to Theory Development</w:t>
            </w:r>
            <w:r>
              <w:rPr>
                <w:noProof/>
                <w:webHidden/>
              </w:rPr>
              <w:tab/>
            </w:r>
            <w:r>
              <w:rPr>
                <w:noProof/>
                <w:webHidden/>
              </w:rPr>
              <w:fldChar w:fldCharType="begin"/>
            </w:r>
            <w:r>
              <w:rPr>
                <w:noProof/>
                <w:webHidden/>
              </w:rPr>
              <w:instrText xml:space="preserve"> PAGEREF _Toc215742664 \h </w:instrText>
            </w:r>
            <w:r>
              <w:rPr>
                <w:noProof/>
                <w:webHidden/>
              </w:rPr>
            </w:r>
            <w:r>
              <w:rPr>
                <w:noProof/>
                <w:webHidden/>
              </w:rPr>
              <w:fldChar w:fldCharType="separate"/>
            </w:r>
            <w:r>
              <w:rPr>
                <w:noProof/>
                <w:webHidden/>
              </w:rPr>
              <w:t>89</w:t>
            </w:r>
            <w:r>
              <w:rPr>
                <w:noProof/>
                <w:webHidden/>
              </w:rPr>
              <w:fldChar w:fldCharType="end"/>
            </w:r>
          </w:hyperlink>
        </w:p>
        <w:p w14:paraId="0F65AAC9" w14:textId="5B0896EE"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65" w:history="1">
            <w:r w:rsidRPr="005C6910">
              <w:rPr>
                <w:rStyle w:val="Collegamentoipertestuale"/>
                <w:rFonts w:eastAsiaTheme="majorEastAsia"/>
                <w:noProof/>
              </w:rPr>
              <w:t>4.3. Research Strategy</w:t>
            </w:r>
            <w:r>
              <w:rPr>
                <w:noProof/>
                <w:webHidden/>
              </w:rPr>
              <w:tab/>
            </w:r>
            <w:r>
              <w:rPr>
                <w:noProof/>
                <w:webHidden/>
              </w:rPr>
              <w:fldChar w:fldCharType="begin"/>
            </w:r>
            <w:r>
              <w:rPr>
                <w:noProof/>
                <w:webHidden/>
              </w:rPr>
              <w:instrText xml:space="preserve"> PAGEREF _Toc215742665 \h </w:instrText>
            </w:r>
            <w:r>
              <w:rPr>
                <w:noProof/>
                <w:webHidden/>
              </w:rPr>
            </w:r>
            <w:r>
              <w:rPr>
                <w:noProof/>
                <w:webHidden/>
              </w:rPr>
              <w:fldChar w:fldCharType="separate"/>
            </w:r>
            <w:r>
              <w:rPr>
                <w:noProof/>
                <w:webHidden/>
              </w:rPr>
              <w:t>91</w:t>
            </w:r>
            <w:r>
              <w:rPr>
                <w:noProof/>
                <w:webHidden/>
              </w:rPr>
              <w:fldChar w:fldCharType="end"/>
            </w:r>
          </w:hyperlink>
        </w:p>
        <w:p w14:paraId="4A55928C" w14:textId="39BC9871"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66" w:history="1">
            <w:r w:rsidRPr="005C6910">
              <w:rPr>
                <w:rStyle w:val="Collegamentoipertestuale"/>
                <w:rFonts w:eastAsiaTheme="majorEastAsia"/>
                <w:noProof/>
              </w:rPr>
              <w:t>4.4. Methodological Choice(s)</w:t>
            </w:r>
            <w:r>
              <w:rPr>
                <w:noProof/>
                <w:webHidden/>
              </w:rPr>
              <w:tab/>
            </w:r>
            <w:r>
              <w:rPr>
                <w:noProof/>
                <w:webHidden/>
              </w:rPr>
              <w:fldChar w:fldCharType="begin"/>
            </w:r>
            <w:r>
              <w:rPr>
                <w:noProof/>
                <w:webHidden/>
              </w:rPr>
              <w:instrText xml:space="preserve"> PAGEREF _Toc215742666 \h </w:instrText>
            </w:r>
            <w:r>
              <w:rPr>
                <w:noProof/>
                <w:webHidden/>
              </w:rPr>
            </w:r>
            <w:r>
              <w:rPr>
                <w:noProof/>
                <w:webHidden/>
              </w:rPr>
              <w:fldChar w:fldCharType="separate"/>
            </w:r>
            <w:r>
              <w:rPr>
                <w:noProof/>
                <w:webHidden/>
              </w:rPr>
              <w:t>94</w:t>
            </w:r>
            <w:r>
              <w:rPr>
                <w:noProof/>
                <w:webHidden/>
              </w:rPr>
              <w:fldChar w:fldCharType="end"/>
            </w:r>
          </w:hyperlink>
        </w:p>
        <w:p w14:paraId="4FE3E12C" w14:textId="0012AC2B"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67" w:history="1">
            <w:r w:rsidRPr="005C6910">
              <w:rPr>
                <w:rStyle w:val="Collegamentoipertestuale"/>
                <w:rFonts w:eastAsiaTheme="majorEastAsia"/>
                <w:noProof/>
              </w:rPr>
              <w:t>4.5. Time Horizon</w:t>
            </w:r>
            <w:r>
              <w:rPr>
                <w:noProof/>
                <w:webHidden/>
              </w:rPr>
              <w:tab/>
            </w:r>
            <w:r>
              <w:rPr>
                <w:noProof/>
                <w:webHidden/>
              </w:rPr>
              <w:fldChar w:fldCharType="begin"/>
            </w:r>
            <w:r>
              <w:rPr>
                <w:noProof/>
                <w:webHidden/>
              </w:rPr>
              <w:instrText xml:space="preserve"> PAGEREF _Toc215742667 \h </w:instrText>
            </w:r>
            <w:r>
              <w:rPr>
                <w:noProof/>
                <w:webHidden/>
              </w:rPr>
            </w:r>
            <w:r>
              <w:rPr>
                <w:noProof/>
                <w:webHidden/>
              </w:rPr>
              <w:fldChar w:fldCharType="separate"/>
            </w:r>
            <w:r>
              <w:rPr>
                <w:noProof/>
                <w:webHidden/>
              </w:rPr>
              <w:t>95</w:t>
            </w:r>
            <w:r>
              <w:rPr>
                <w:noProof/>
                <w:webHidden/>
              </w:rPr>
              <w:fldChar w:fldCharType="end"/>
            </w:r>
          </w:hyperlink>
        </w:p>
        <w:p w14:paraId="7442266E" w14:textId="030C6453"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68" w:history="1">
            <w:r w:rsidRPr="005C6910">
              <w:rPr>
                <w:rStyle w:val="Collegamentoipertestuale"/>
                <w:rFonts w:eastAsiaTheme="majorEastAsia"/>
                <w:noProof/>
              </w:rPr>
              <w:t>4.6. Techniques and Procedures</w:t>
            </w:r>
            <w:r>
              <w:rPr>
                <w:noProof/>
                <w:webHidden/>
              </w:rPr>
              <w:tab/>
            </w:r>
            <w:r>
              <w:rPr>
                <w:noProof/>
                <w:webHidden/>
              </w:rPr>
              <w:fldChar w:fldCharType="begin"/>
            </w:r>
            <w:r>
              <w:rPr>
                <w:noProof/>
                <w:webHidden/>
              </w:rPr>
              <w:instrText xml:space="preserve"> PAGEREF _Toc215742668 \h </w:instrText>
            </w:r>
            <w:r>
              <w:rPr>
                <w:noProof/>
                <w:webHidden/>
              </w:rPr>
            </w:r>
            <w:r>
              <w:rPr>
                <w:noProof/>
                <w:webHidden/>
              </w:rPr>
              <w:fldChar w:fldCharType="separate"/>
            </w:r>
            <w:r>
              <w:rPr>
                <w:noProof/>
                <w:webHidden/>
              </w:rPr>
              <w:t>96</w:t>
            </w:r>
            <w:r>
              <w:rPr>
                <w:noProof/>
                <w:webHidden/>
              </w:rPr>
              <w:fldChar w:fldCharType="end"/>
            </w:r>
          </w:hyperlink>
        </w:p>
        <w:p w14:paraId="28C934CF" w14:textId="1D908F76"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69" w:history="1">
            <w:r w:rsidRPr="005C6910">
              <w:rPr>
                <w:rStyle w:val="Collegamentoipertestuale"/>
                <w:rFonts w:eastAsiaTheme="majorEastAsia"/>
                <w:noProof/>
              </w:rPr>
              <w:t>4.6.1. Data Type</w:t>
            </w:r>
            <w:r>
              <w:rPr>
                <w:noProof/>
                <w:webHidden/>
              </w:rPr>
              <w:tab/>
            </w:r>
            <w:r>
              <w:rPr>
                <w:noProof/>
                <w:webHidden/>
              </w:rPr>
              <w:fldChar w:fldCharType="begin"/>
            </w:r>
            <w:r>
              <w:rPr>
                <w:noProof/>
                <w:webHidden/>
              </w:rPr>
              <w:instrText xml:space="preserve"> PAGEREF _Toc215742669 \h </w:instrText>
            </w:r>
            <w:r>
              <w:rPr>
                <w:noProof/>
                <w:webHidden/>
              </w:rPr>
            </w:r>
            <w:r>
              <w:rPr>
                <w:noProof/>
                <w:webHidden/>
              </w:rPr>
              <w:fldChar w:fldCharType="separate"/>
            </w:r>
            <w:r>
              <w:rPr>
                <w:noProof/>
                <w:webHidden/>
              </w:rPr>
              <w:t>96</w:t>
            </w:r>
            <w:r>
              <w:rPr>
                <w:noProof/>
                <w:webHidden/>
              </w:rPr>
              <w:fldChar w:fldCharType="end"/>
            </w:r>
          </w:hyperlink>
        </w:p>
        <w:p w14:paraId="49FBC3F0" w14:textId="7E020B49"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70" w:history="1">
            <w:r w:rsidRPr="005C6910">
              <w:rPr>
                <w:rStyle w:val="Collegamentoipertestuale"/>
                <w:rFonts w:eastAsiaTheme="majorEastAsia"/>
                <w:noProof/>
              </w:rPr>
              <w:t>4.6.2. Data Collection</w:t>
            </w:r>
            <w:r>
              <w:rPr>
                <w:noProof/>
                <w:webHidden/>
              </w:rPr>
              <w:tab/>
            </w:r>
            <w:r>
              <w:rPr>
                <w:noProof/>
                <w:webHidden/>
              </w:rPr>
              <w:fldChar w:fldCharType="begin"/>
            </w:r>
            <w:r>
              <w:rPr>
                <w:noProof/>
                <w:webHidden/>
              </w:rPr>
              <w:instrText xml:space="preserve"> PAGEREF _Toc215742670 \h </w:instrText>
            </w:r>
            <w:r>
              <w:rPr>
                <w:noProof/>
                <w:webHidden/>
              </w:rPr>
            </w:r>
            <w:r>
              <w:rPr>
                <w:noProof/>
                <w:webHidden/>
              </w:rPr>
              <w:fldChar w:fldCharType="separate"/>
            </w:r>
            <w:r>
              <w:rPr>
                <w:noProof/>
                <w:webHidden/>
              </w:rPr>
              <w:t>97</w:t>
            </w:r>
            <w:r>
              <w:rPr>
                <w:noProof/>
                <w:webHidden/>
              </w:rPr>
              <w:fldChar w:fldCharType="end"/>
            </w:r>
          </w:hyperlink>
        </w:p>
        <w:p w14:paraId="5A98A6C0" w14:textId="37761BDF"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71" w:history="1">
            <w:r w:rsidRPr="005C6910">
              <w:rPr>
                <w:rStyle w:val="Collegamentoipertestuale"/>
                <w:rFonts w:eastAsiaTheme="majorEastAsia"/>
                <w:noProof/>
              </w:rPr>
              <w:t>4.6.3.Sample and Population</w:t>
            </w:r>
            <w:r>
              <w:rPr>
                <w:noProof/>
                <w:webHidden/>
              </w:rPr>
              <w:tab/>
            </w:r>
            <w:r>
              <w:rPr>
                <w:noProof/>
                <w:webHidden/>
              </w:rPr>
              <w:fldChar w:fldCharType="begin"/>
            </w:r>
            <w:r>
              <w:rPr>
                <w:noProof/>
                <w:webHidden/>
              </w:rPr>
              <w:instrText xml:space="preserve"> PAGEREF _Toc215742671 \h </w:instrText>
            </w:r>
            <w:r>
              <w:rPr>
                <w:noProof/>
                <w:webHidden/>
              </w:rPr>
            </w:r>
            <w:r>
              <w:rPr>
                <w:noProof/>
                <w:webHidden/>
              </w:rPr>
              <w:fldChar w:fldCharType="separate"/>
            </w:r>
            <w:r>
              <w:rPr>
                <w:noProof/>
                <w:webHidden/>
              </w:rPr>
              <w:t>99</w:t>
            </w:r>
            <w:r>
              <w:rPr>
                <w:noProof/>
                <w:webHidden/>
              </w:rPr>
              <w:fldChar w:fldCharType="end"/>
            </w:r>
          </w:hyperlink>
        </w:p>
        <w:p w14:paraId="2D42086A" w14:textId="65B95996"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72" w:history="1">
            <w:r w:rsidRPr="005C6910">
              <w:rPr>
                <w:rStyle w:val="Collegamentoipertestuale"/>
                <w:rFonts w:eastAsiaTheme="majorEastAsia"/>
                <w:noProof/>
              </w:rPr>
              <w:t>4.6.4. Data Analysis</w:t>
            </w:r>
            <w:r>
              <w:rPr>
                <w:noProof/>
                <w:webHidden/>
              </w:rPr>
              <w:tab/>
            </w:r>
            <w:r>
              <w:rPr>
                <w:noProof/>
                <w:webHidden/>
              </w:rPr>
              <w:fldChar w:fldCharType="begin"/>
            </w:r>
            <w:r>
              <w:rPr>
                <w:noProof/>
                <w:webHidden/>
              </w:rPr>
              <w:instrText xml:space="preserve"> PAGEREF _Toc215742672 \h </w:instrText>
            </w:r>
            <w:r>
              <w:rPr>
                <w:noProof/>
                <w:webHidden/>
              </w:rPr>
            </w:r>
            <w:r>
              <w:rPr>
                <w:noProof/>
                <w:webHidden/>
              </w:rPr>
              <w:fldChar w:fldCharType="separate"/>
            </w:r>
            <w:r>
              <w:rPr>
                <w:noProof/>
                <w:webHidden/>
              </w:rPr>
              <w:t>103</w:t>
            </w:r>
            <w:r>
              <w:rPr>
                <w:noProof/>
                <w:webHidden/>
              </w:rPr>
              <w:fldChar w:fldCharType="end"/>
            </w:r>
          </w:hyperlink>
        </w:p>
        <w:p w14:paraId="59499D3A" w14:textId="28060DDC"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73" w:history="1">
            <w:r w:rsidRPr="005C6910">
              <w:rPr>
                <w:rStyle w:val="Collegamentoipertestuale"/>
                <w:rFonts w:eastAsiaTheme="majorEastAsia"/>
                <w:noProof/>
              </w:rPr>
              <w:t>4.6.5 Coding</w:t>
            </w:r>
            <w:r>
              <w:rPr>
                <w:noProof/>
                <w:webHidden/>
              </w:rPr>
              <w:tab/>
            </w:r>
            <w:r>
              <w:rPr>
                <w:noProof/>
                <w:webHidden/>
              </w:rPr>
              <w:fldChar w:fldCharType="begin"/>
            </w:r>
            <w:r>
              <w:rPr>
                <w:noProof/>
                <w:webHidden/>
              </w:rPr>
              <w:instrText xml:space="preserve"> PAGEREF _Toc215742673 \h </w:instrText>
            </w:r>
            <w:r>
              <w:rPr>
                <w:noProof/>
                <w:webHidden/>
              </w:rPr>
            </w:r>
            <w:r>
              <w:rPr>
                <w:noProof/>
                <w:webHidden/>
              </w:rPr>
              <w:fldChar w:fldCharType="separate"/>
            </w:r>
            <w:r>
              <w:rPr>
                <w:noProof/>
                <w:webHidden/>
              </w:rPr>
              <w:t>106</w:t>
            </w:r>
            <w:r>
              <w:rPr>
                <w:noProof/>
                <w:webHidden/>
              </w:rPr>
              <w:fldChar w:fldCharType="end"/>
            </w:r>
          </w:hyperlink>
        </w:p>
        <w:p w14:paraId="7821A849" w14:textId="3D1FB350"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74" w:history="1">
            <w:r w:rsidRPr="005C6910">
              <w:rPr>
                <w:rStyle w:val="Collegamentoipertestuale"/>
                <w:rFonts w:eastAsiaTheme="majorEastAsia"/>
                <w:noProof/>
              </w:rPr>
              <w:t>Conclusion</w:t>
            </w:r>
            <w:r>
              <w:rPr>
                <w:noProof/>
                <w:webHidden/>
              </w:rPr>
              <w:tab/>
            </w:r>
            <w:r>
              <w:rPr>
                <w:noProof/>
                <w:webHidden/>
              </w:rPr>
              <w:fldChar w:fldCharType="begin"/>
            </w:r>
            <w:r>
              <w:rPr>
                <w:noProof/>
                <w:webHidden/>
              </w:rPr>
              <w:instrText xml:space="preserve"> PAGEREF _Toc215742674 \h </w:instrText>
            </w:r>
            <w:r>
              <w:rPr>
                <w:noProof/>
                <w:webHidden/>
              </w:rPr>
            </w:r>
            <w:r>
              <w:rPr>
                <w:noProof/>
                <w:webHidden/>
              </w:rPr>
              <w:fldChar w:fldCharType="separate"/>
            </w:r>
            <w:r>
              <w:rPr>
                <w:noProof/>
                <w:webHidden/>
              </w:rPr>
              <w:t>108</w:t>
            </w:r>
            <w:r>
              <w:rPr>
                <w:noProof/>
                <w:webHidden/>
              </w:rPr>
              <w:fldChar w:fldCharType="end"/>
            </w:r>
          </w:hyperlink>
        </w:p>
        <w:p w14:paraId="3E420024" w14:textId="4E72B2E5" w:rsidR="00AD4774" w:rsidRDefault="00AD4774">
          <w:pPr>
            <w:pStyle w:val="Sommario1"/>
            <w:rPr>
              <w:rFonts w:asciiTheme="minorHAnsi" w:eastAsiaTheme="minorEastAsia" w:hAnsiTheme="minorHAnsi" w:cstheme="minorBidi"/>
              <w:noProof/>
              <w:sz w:val="22"/>
              <w:lang w:val="it-IT" w:eastAsia="it-IT"/>
            </w:rPr>
          </w:pPr>
          <w:hyperlink w:anchor="_Toc215742675" w:history="1">
            <w:r w:rsidRPr="005C6910">
              <w:rPr>
                <w:rStyle w:val="Collegamentoipertestuale"/>
                <w:rFonts w:eastAsiaTheme="majorEastAsia"/>
                <w:noProof/>
              </w:rPr>
              <w:t>5. The Hero-Protector Context</w:t>
            </w:r>
            <w:r>
              <w:rPr>
                <w:noProof/>
                <w:webHidden/>
              </w:rPr>
              <w:tab/>
            </w:r>
            <w:r>
              <w:rPr>
                <w:noProof/>
                <w:webHidden/>
              </w:rPr>
              <w:fldChar w:fldCharType="begin"/>
            </w:r>
            <w:r>
              <w:rPr>
                <w:noProof/>
                <w:webHidden/>
              </w:rPr>
              <w:instrText xml:space="preserve"> PAGEREF _Toc215742675 \h </w:instrText>
            </w:r>
            <w:r>
              <w:rPr>
                <w:noProof/>
                <w:webHidden/>
              </w:rPr>
            </w:r>
            <w:r>
              <w:rPr>
                <w:noProof/>
                <w:webHidden/>
              </w:rPr>
              <w:fldChar w:fldCharType="separate"/>
            </w:r>
            <w:r>
              <w:rPr>
                <w:noProof/>
                <w:webHidden/>
              </w:rPr>
              <w:t>110</w:t>
            </w:r>
            <w:r>
              <w:rPr>
                <w:noProof/>
                <w:webHidden/>
              </w:rPr>
              <w:fldChar w:fldCharType="end"/>
            </w:r>
          </w:hyperlink>
        </w:p>
        <w:p w14:paraId="050C363B" w14:textId="18552C72"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76" w:history="1">
            <w:r w:rsidRPr="005C6910">
              <w:rPr>
                <w:rStyle w:val="Collegamentoipertestuale"/>
                <w:rFonts w:eastAsiaTheme="majorEastAsia"/>
                <w:noProof/>
              </w:rPr>
              <w:t>Introduction</w:t>
            </w:r>
            <w:r>
              <w:rPr>
                <w:noProof/>
                <w:webHidden/>
              </w:rPr>
              <w:tab/>
            </w:r>
            <w:r>
              <w:rPr>
                <w:noProof/>
                <w:webHidden/>
              </w:rPr>
              <w:fldChar w:fldCharType="begin"/>
            </w:r>
            <w:r>
              <w:rPr>
                <w:noProof/>
                <w:webHidden/>
              </w:rPr>
              <w:instrText xml:space="preserve"> PAGEREF _Toc215742676 \h </w:instrText>
            </w:r>
            <w:r>
              <w:rPr>
                <w:noProof/>
                <w:webHidden/>
              </w:rPr>
            </w:r>
            <w:r>
              <w:rPr>
                <w:noProof/>
                <w:webHidden/>
              </w:rPr>
              <w:fldChar w:fldCharType="separate"/>
            </w:r>
            <w:r>
              <w:rPr>
                <w:noProof/>
                <w:webHidden/>
              </w:rPr>
              <w:t>110</w:t>
            </w:r>
            <w:r>
              <w:rPr>
                <w:noProof/>
                <w:webHidden/>
              </w:rPr>
              <w:fldChar w:fldCharType="end"/>
            </w:r>
          </w:hyperlink>
        </w:p>
        <w:p w14:paraId="40891E0C" w14:textId="3EA48788"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77" w:history="1">
            <w:r w:rsidRPr="005C6910">
              <w:rPr>
                <w:rStyle w:val="Collegamentoipertestuale"/>
                <w:rFonts w:eastAsiaTheme="majorEastAsia"/>
                <w:noProof/>
              </w:rPr>
              <w:t>5.1. Anatomy of an Asymmetric Alliance</w:t>
            </w:r>
            <w:r>
              <w:rPr>
                <w:noProof/>
                <w:webHidden/>
              </w:rPr>
              <w:tab/>
            </w:r>
            <w:r>
              <w:rPr>
                <w:noProof/>
                <w:webHidden/>
              </w:rPr>
              <w:fldChar w:fldCharType="begin"/>
            </w:r>
            <w:r>
              <w:rPr>
                <w:noProof/>
                <w:webHidden/>
              </w:rPr>
              <w:instrText xml:space="preserve"> PAGEREF _Toc215742677 \h </w:instrText>
            </w:r>
            <w:r>
              <w:rPr>
                <w:noProof/>
                <w:webHidden/>
              </w:rPr>
            </w:r>
            <w:r>
              <w:rPr>
                <w:noProof/>
                <w:webHidden/>
              </w:rPr>
              <w:fldChar w:fldCharType="separate"/>
            </w:r>
            <w:r>
              <w:rPr>
                <w:noProof/>
                <w:webHidden/>
              </w:rPr>
              <w:t>112</w:t>
            </w:r>
            <w:r>
              <w:rPr>
                <w:noProof/>
                <w:webHidden/>
              </w:rPr>
              <w:fldChar w:fldCharType="end"/>
            </w:r>
          </w:hyperlink>
        </w:p>
        <w:p w14:paraId="67527711" w14:textId="41E6BCE6"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78" w:history="1">
            <w:r w:rsidRPr="005C6910">
              <w:rPr>
                <w:rStyle w:val="Collegamentoipertestuale"/>
                <w:rFonts w:eastAsiaTheme="majorEastAsia"/>
                <w:noProof/>
              </w:rPr>
              <w:t>5.1.1. Economy</w:t>
            </w:r>
            <w:r>
              <w:rPr>
                <w:noProof/>
                <w:webHidden/>
              </w:rPr>
              <w:tab/>
            </w:r>
            <w:r>
              <w:rPr>
                <w:noProof/>
                <w:webHidden/>
              </w:rPr>
              <w:fldChar w:fldCharType="begin"/>
            </w:r>
            <w:r>
              <w:rPr>
                <w:noProof/>
                <w:webHidden/>
              </w:rPr>
              <w:instrText xml:space="preserve"> PAGEREF _Toc215742678 \h </w:instrText>
            </w:r>
            <w:r>
              <w:rPr>
                <w:noProof/>
                <w:webHidden/>
              </w:rPr>
            </w:r>
            <w:r>
              <w:rPr>
                <w:noProof/>
                <w:webHidden/>
              </w:rPr>
              <w:fldChar w:fldCharType="separate"/>
            </w:r>
            <w:r>
              <w:rPr>
                <w:noProof/>
                <w:webHidden/>
              </w:rPr>
              <w:t>115</w:t>
            </w:r>
            <w:r>
              <w:rPr>
                <w:noProof/>
                <w:webHidden/>
              </w:rPr>
              <w:fldChar w:fldCharType="end"/>
            </w:r>
          </w:hyperlink>
        </w:p>
        <w:p w14:paraId="61AEB6AB" w14:textId="10A5A614"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79" w:history="1">
            <w:r w:rsidRPr="005C6910">
              <w:rPr>
                <w:rStyle w:val="Collegamentoipertestuale"/>
                <w:rFonts w:eastAsiaTheme="majorEastAsia"/>
                <w:noProof/>
              </w:rPr>
              <w:t>5.1.2.  Armenia’s Diaspora in Russia</w:t>
            </w:r>
            <w:r>
              <w:rPr>
                <w:noProof/>
                <w:webHidden/>
              </w:rPr>
              <w:tab/>
            </w:r>
            <w:r>
              <w:rPr>
                <w:noProof/>
                <w:webHidden/>
              </w:rPr>
              <w:fldChar w:fldCharType="begin"/>
            </w:r>
            <w:r>
              <w:rPr>
                <w:noProof/>
                <w:webHidden/>
              </w:rPr>
              <w:instrText xml:space="preserve"> PAGEREF _Toc215742679 \h </w:instrText>
            </w:r>
            <w:r>
              <w:rPr>
                <w:noProof/>
                <w:webHidden/>
              </w:rPr>
            </w:r>
            <w:r>
              <w:rPr>
                <w:noProof/>
                <w:webHidden/>
              </w:rPr>
              <w:fldChar w:fldCharType="separate"/>
            </w:r>
            <w:r>
              <w:rPr>
                <w:noProof/>
                <w:webHidden/>
              </w:rPr>
              <w:t>117</w:t>
            </w:r>
            <w:r>
              <w:rPr>
                <w:noProof/>
                <w:webHidden/>
              </w:rPr>
              <w:fldChar w:fldCharType="end"/>
            </w:r>
          </w:hyperlink>
        </w:p>
        <w:p w14:paraId="06A2A2C1" w14:textId="3C722805"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80" w:history="1">
            <w:r w:rsidRPr="005C6910">
              <w:rPr>
                <w:rStyle w:val="Collegamentoipertestuale"/>
                <w:rFonts w:eastAsiaTheme="majorEastAsia"/>
                <w:noProof/>
              </w:rPr>
              <w:t>5.1.3. Security</w:t>
            </w:r>
            <w:r>
              <w:rPr>
                <w:noProof/>
                <w:webHidden/>
              </w:rPr>
              <w:tab/>
            </w:r>
            <w:r>
              <w:rPr>
                <w:noProof/>
                <w:webHidden/>
              </w:rPr>
              <w:fldChar w:fldCharType="begin"/>
            </w:r>
            <w:r>
              <w:rPr>
                <w:noProof/>
                <w:webHidden/>
              </w:rPr>
              <w:instrText xml:space="preserve"> PAGEREF _Toc215742680 \h </w:instrText>
            </w:r>
            <w:r>
              <w:rPr>
                <w:noProof/>
                <w:webHidden/>
              </w:rPr>
            </w:r>
            <w:r>
              <w:rPr>
                <w:noProof/>
                <w:webHidden/>
              </w:rPr>
              <w:fldChar w:fldCharType="separate"/>
            </w:r>
            <w:r>
              <w:rPr>
                <w:noProof/>
                <w:webHidden/>
              </w:rPr>
              <w:t>120</w:t>
            </w:r>
            <w:r>
              <w:rPr>
                <w:noProof/>
                <w:webHidden/>
              </w:rPr>
              <w:fldChar w:fldCharType="end"/>
            </w:r>
          </w:hyperlink>
        </w:p>
        <w:p w14:paraId="284A776B" w14:textId="05F03AED" w:rsidR="00AD4774" w:rsidRDefault="00AD4774">
          <w:pPr>
            <w:pStyle w:val="Sommario3"/>
            <w:tabs>
              <w:tab w:val="right" w:leader="dot" w:pos="10057"/>
            </w:tabs>
            <w:rPr>
              <w:rFonts w:asciiTheme="minorHAnsi" w:eastAsiaTheme="minorEastAsia" w:hAnsiTheme="minorHAnsi" w:cstheme="minorBidi"/>
              <w:noProof/>
              <w:sz w:val="22"/>
              <w:lang w:val="it-IT" w:eastAsia="it-IT"/>
            </w:rPr>
          </w:pPr>
          <w:hyperlink w:anchor="_Toc215742681" w:history="1">
            <w:r w:rsidRPr="005C6910">
              <w:rPr>
                <w:rStyle w:val="Collegamentoipertestuale"/>
                <w:rFonts w:eastAsiaTheme="majorEastAsia"/>
                <w:noProof/>
              </w:rPr>
              <w:t>5.1.4.  Armenian Politics</w:t>
            </w:r>
            <w:r>
              <w:rPr>
                <w:noProof/>
                <w:webHidden/>
              </w:rPr>
              <w:tab/>
            </w:r>
            <w:r>
              <w:rPr>
                <w:noProof/>
                <w:webHidden/>
              </w:rPr>
              <w:fldChar w:fldCharType="begin"/>
            </w:r>
            <w:r>
              <w:rPr>
                <w:noProof/>
                <w:webHidden/>
              </w:rPr>
              <w:instrText xml:space="preserve"> PAGEREF _Toc215742681 \h </w:instrText>
            </w:r>
            <w:r>
              <w:rPr>
                <w:noProof/>
                <w:webHidden/>
              </w:rPr>
            </w:r>
            <w:r>
              <w:rPr>
                <w:noProof/>
                <w:webHidden/>
              </w:rPr>
              <w:fldChar w:fldCharType="separate"/>
            </w:r>
            <w:r>
              <w:rPr>
                <w:noProof/>
                <w:webHidden/>
              </w:rPr>
              <w:t>122</w:t>
            </w:r>
            <w:r>
              <w:rPr>
                <w:noProof/>
                <w:webHidden/>
              </w:rPr>
              <w:fldChar w:fldCharType="end"/>
            </w:r>
          </w:hyperlink>
        </w:p>
        <w:p w14:paraId="4BD40B47" w14:textId="7A232BB2"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82" w:history="1">
            <w:r w:rsidRPr="005C6910">
              <w:rPr>
                <w:rStyle w:val="Collegamentoipertestuale"/>
                <w:rFonts w:eastAsiaTheme="majorEastAsia"/>
                <w:noProof/>
              </w:rPr>
              <w:t>5.2. Russia as a Protector</w:t>
            </w:r>
            <w:r>
              <w:rPr>
                <w:noProof/>
                <w:webHidden/>
              </w:rPr>
              <w:tab/>
            </w:r>
            <w:r>
              <w:rPr>
                <w:noProof/>
                <w:webHidden/>
              </w:rPr>
              <w:fldChar w:fldCharType="begin"/>
            </w:r>
            <w:r>
              <w:rPr>
                <w:noProof/>
                <w:webHidden/>
              </w:rPr>
              <w:instrText xml:space="preserve"> PAGEREF _Toc215742682 \h </w:instrText>
            </w:r>
            <w:r>
              <w:rPr>
                <w:noProof/>
                <w:webHidden/>
              </w:rPr>
            </w:r>
            <w:r>
              <w:rPr>
                <w:noProof/>
                <w:webHidden/>
              </w:rPr>
              <w:fldChar w:fldCharType="separate"/>
            </w:r>
            <w:r>
              <w:rPr>
                <w:noProof/>
                <w:webHidden/>
              </w:rPr>
              <w:t>125</w:t>
            </w:r>
            <w:r>
              <w:rPr>
                <w:noProof/>
                <w:webHidden/>
              </w:rPr>
              <w:fldChar w:fldCharType="end"/>
            </w:r>
          </w:hyperlink>
        </w:p>
        <w:p w14:paraId="20C1809B" w14:textId="4E9826AF"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83" w:history="1">
            <w:r w:rsidRPr="005C6910">
              <w:rPr>
                <w:rStyle w:val="Collegamentoipertestuale"/>
                <w:rFonts w:eastAsiaTheme="majorEastAsia"/>
                <w:noProof/>
              </w:rPr>
              <w:t>Conclusion</w:t>
            </w:r>
            <w:r>
              <w:rPr>
                <w:noProof/>
                <w:webHidden/>
              </w:rPr>
              <w:tab/>
            </w:r>
            <w:r>
              <w:rPr>
                <w:noProof/>
                <w:webHidden/>
              </w:rPr>
              <w:fldChar w:fldCharType="begin"/>
            </w:r>
            <w:r>
              <w:rPr>
                <w:noProof/>
                <w:webHidden/>
              </w:rPr>
              <w:instrText xml:space="preserve"> PAGEREF _Toc215742683 \h </w:instrText>
            </w:r>
            <w:r>
              <w:rPr>
                <w:noProof/>
                <w:webHidden/>
              </w:rPr>
            </w:r>
            <w:r>
              <w:rPr>
                <w:noProof/>
                <w:webHidden/>
              </w:rPr>
              <w:fldChar w:fldCharType="separate"/>
            </w:r>
            <w:r>
              <w:rPr>
                <w:noProof/>
                <w:webHidden/>
              </w:rPr>
              <w:t>133</w:t>
            </w:r>
            <w:r>
              <w:rPr>
                <w:noProof/>
                <w:webHidden/>
              </w:rPr>
              <w:fldChar w:fldCharType="end"/>
            </w:r>
          </w:hyperlink>
        </w:p>
        <w:p w14:paraId="3A6F7DAB" w14:textId="305804B6" w:rsidR="00AD4774" w:rsidRDefault="00AD4774">
          <w:pPr>
            <w:pStyle w:val="Sommario1"/>
            <w:rPr>
              <w:rFonts w:asciiTheme="minorHAnsi" w:eastAsiaTheme="minorEastAsia" w:hAnsiTheme="minorHAnsi" w:cstheme="minorBidi"/>
              <w:noProof/>
              <w:sz w:val="22"/>
              <w:lang w:val="it-IT" w:eastAsia="it-IT"/>
            </w:rPr>
          </w:pPr>
          <w:hyperlink w:anchor="_Toc215742684" w:history="1">
            <w:r w:rsidRPr="005C6910">
              <w:rPr>
                <w:rStyle w:val="Collegamentoipertestuale"/>
                <w:rFonts w:eastAsiaTheme="majorEastAsia"/>
                <w:noProof/>
              </w:rPr>
              <w:t>6. Russia’s Politics of Deference</w:t>
            </w:r>
            <w:r>
              <w:rPr>
                <w:noProof/>
                <w:webHidden/>
              </w:rPr>
              <w:tab/>
            </w:r>
            <w:r>
              <w:rPr>
                <w:noProof/>
                <w:webHidden/>
              </w:rPr>
              <w:fldChar w:fldCharType="begin"/>
            </w:r>
            <w:r>
              <w:rPr>
                <w:noProof/>
                <w:webHidden/>
              </w:rPr>
              <w:instrText xml:space="preserve"> PAGEREF _Toc215742684 \h </w:instrText>
            </w:r>
            <w:r>
              <w:rPr>
                <w:noProof/>
                <w:webHidden/>
              </w:rPr>
            </w:r>
            <w:r>
              <w:rPr>
                <w:noProof/>
                <w:webHidden/>
              </w:rPr>
              <w:fldChar w:fldCharType="separate"/>
            </w:r>
            <w:r>
              <w:rPr>
                <w:noProof/>
                <w:webHidden/>
              </w:rPr>
              <w:t>135</w:t>
            </w:r>
            <w:r>
              <w:rPr>
                <w:noProof/>
                <w:webHidden/>
              </w:rPr>
              <w:fldChar w:fldCharType="end"/>
            </w:r>
          </w:hyperlink>
        </w:p>
        <w:p w14:paraId="6234EE46" w14:textId="2ECF9F45"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85" w:history="1">
            <w:r w:rsidRPr="005C6910">
              <w:rPr>
                <w:rStyle w:val="Collegamentoipertestuale"/>
                <w:rFonts w:eastAsiaTheme="majorEastAsia"/>
                <w:noProof/>
              </w:rPr>
              <w:t>Introduction</w:t>
            </w:r>
            <w:r>
              <w:rPr>
                <w:noProof/>
                <w:webHidden/>
              </w:rPr>
              <w:tab/>
            </w:r>
            <w:r>
              <w:rPr>
                <w:noProof/>
                <w:webHidden/>
              </w:rPr>
              <w:fldChar w:fldCharType="begin"/>
            </w:r>
            <w:r>
              <w:rPr>
                <w:noProof/>
                <w:webHidden/>
              </w:rPr>
              <w:instrText xml:space="preserve"> PAGEREF _Toc215742685 \h </w:instrText>
            </w:r>
            <w:r>
              <w:rPr>
                <w:noProof/>
                <w:webHidden/>
              </w:rPr>
            </w:r>
            <w:r>
              <w:rPr>
                <w:noProof/>
                <w:webHidden/>
              </w:rPr>
              <w:fldChar w:fldCharType="separate"/>
            </w:r>
            <w:r>
              <w:rPr>
                <w:noProof/>
                <w:webHidden/>
              </w:rPr>
              <w:t>135</w:t>
            </w:r>
            <w:r>
              <w:rPr>
                <w:noProof/>
                <w:webHidden/>
              </w:rPr>
              <w:fldChar w:fldCharType="end"/>
            </w:r>
          </w:hyperlink>
        </w:p>
        <w:p w14:paraId="23A5D583" w14:textId="7140A6B2"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86" w:history="1">
            <w:r w:rsidRPr="005C6910">
              <w:rPr>
                <w:rStyle w:val="Collegamentoipertestuale"/>
                <w:rFonts w:eastAsiaTheme="majorEastAsia"/>
                <w:noProof/>
              </w:rPr>
              <w:t>6.1. First Period (2015-2018)</w:t>
            </w:r>
            <w:r>
              <w:rPr>
                <w:noProof/>
                <w:webHidden/>
              </w:rPr>
              <w:tab/>
            </w:r>
            <w:r>
              <w:rPr>
                <w:noProof/>
                <w:webHidden/>
              </w:rPr>
              <w:fldChar w:fldCharType="begin"/>
            </w:r>
            <w:r>
              <w:rPr>
                <w:noProof/>
                <w:webHidden/>
              </w:rPr>
              <w:instrText xml:space="preserve"> PAGEREF _Toc215742686 \h </w:instrText>
            </w:r>
            <w:r>
              <w:rPr>
                <w:noProof/>
                <w:webHidden/>
              </w:rPr>
            </w:r>
            <w:r>
              <w:rPr>
                <w:noProof/>
                <w:webHidden/>
              </w:rPr>
              <w:fldChar w:fldCharType="separate"/>
            </w:r>
            <w:r>
              <w:rPr>
                <w:noProof/>
                <w:webHidden/>
              </w:rPr>
              <w:t>135</w:t>
            </w:r>
            <w:r>
              <w:rPr>
                <w:noProof/>
                <w:webHidden/>
              </w:rPr>
              <w:fldChar w:fldCharType="end"/>
            </w:r>
          </w:hyperlink>
        </w:p>
        <w:p w14:paraId="2BFCD384" w14:textId="70DAF151"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87" w:history="1">
            <w:r w:rsidRPr="005C6910">
              <w:rPr>
                <w:rStyle w:val="Collegamentoipertestuale"/>
                <w:rFonts w:eastAsiaTheme="majorEastAsia"/>
                <w:noProof/>
              </w:rPr>
              <w:t>6.2. Second Period (2020-2022)</w:t>
            </w:r>
            <w:r>
              <w:rPr>
                <w:noProof/>
                <w:webHidden/>
              </w:rPr>
              <w:tab/>
            </w:r>
            <w:r>
              <w:rPr>
                <w:noProof/>
                <w:webHidden/>
              </w:rPr>
              <w:fldChar w:fldCharType="begin"/>
            </w:r>
            <w:r>
              <w:rPr>
                <w:noProof/>
                <w:webHidden/>
              </w:rPr>
              <w:instrText xml:space="preserve"> PAGEREF _Toc215742687 \h </w:instrText>
            </w:r>
            <w:r>
              <w:rPr>
                <w:noProof/>
                <w:webHidden/>
              </w:rPr>
            </w:r>
            <w:r>
              <w:rPr>
                <w:noProof/>
                <w:webHidden/>
              </w:rPr>
              <w:fldChar w:fldCharType="separate"/>
            </w:r>
            <w:r>
              <w:rPr>
                <w:noProof/>
                <w:webHidden/>
              </w:rPr>
              <w:t>140</w:t>
            </w:r>
            <w:r>
              <w:rPr>
                <w:noProof/>
                <w:webHidden/>
              </w:rPr>
              <w:fldChar w:fldCharType="end"/>
            </w:r>
          </w:hyperlink>
        </w:p>
        <w:p w14:paraId="1D4B2906" w14:textId="012B8FE3"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88" w:history="1">
            <w:r w:rsidRPr="005C6910">
              <w:rPr>
                <w:rStyle w:val="Collegamentoipertestuale"/>
                <w:rFonts w:eastAsiaTheme="majorEastAsia"/>
                <w:noProof/>
              </w:rPr>
              <w:t>6.3. Third Period (2023-2024)</w:t>
            </w:r>
            <w:r>
              <w:rPr>
                <w:noProof/>
                <w:webHidden/>
              </w:rPr>
              <w:tab/>
            </w:r>
            <w:r>
              <w:rPr>
                <w:noProof/>
                <w:webHidden/>
              </w:rPr>
              <w:fldChar w:fldCharType="begin"/>
            </w:r>
            <w:r>
              <w:rPr>
                <w:noProof/>
                <w:webHidden/>
              </w:rPr>
              <w:instrText xml:space="preserve"> PAGEREF _Toc215742688 \h </w:instrText>
            </w:r>
            <w:r>
              <w:rPr>
                <w:noProof/>
                <w:webHidden/>
              </w:rPr>
            </w:r>
            <w:r>
              <w:rPr>
                <w:noProof/>
                <w:webHidden/>
              </w:rPr>
              <w:fldChar w:fldCharType="separate"/>
            </w:r>
            <w:r>
              <w:rPr>
                <w:noProof/>
                <w:webHidden/>
              </w:rPr>
              <w:t>146</w:t>
            </w:r>
            <w:r>
              <w:rPr>
                <w:noProof/>
                <w:webHidden/>
              </w:rPr>
              <w:fldChar w:fldCharType="end"/>
            </w:r>
          </w:hyperlink>
        </w:p>
        <w:p w14:paraId="67719C40" w14:textId="7394329B"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89" w:history="1">
            <w:r w:rsidRPr="005C6910">
              <w:rPr>
                <w:rStyle w:val="Collegamentoipertestuale"/>
                <w:rFonts w:eastAsiaTheme="majorEastAsia"/>
                <w:noProof/>
              </w:rPr>
              <w:t>Conclusion</w:t>
            </w:r>
            <w:r>
              <w:rPr>
                <w:noProof/>
                <w:webHidden/>
              </w:rPr>
              <w:tab/>
            </w:r>
            <w:r>
              <w:rPr>
                <w:noProof/>
                <w:webHidden/>
              </w:rPr>
              <w:fldChar w:fldCharType="begin"/>
            </w:r>
            <w:r>
              <w:rPr>
                <w:noProof/>
                <w:webHidden/>
              </w:rPr>
              <w:instrText xml:space="preserve"> PAGEREF _Toc215742689 \h </w:instrText>
            </w:r>
            <w:r>
              <w:rPr>
                <w:noProof/>
                <w:webHidden/>
              </w:rPr>
            </w:r>
            <w:r>
              <w:rPr>
                <w:noProof/>
                <w:webHidden/>
              </w:rPr>
              <w:fldChar w:fldCharType="separate"/>
            </w:r>
            <w:r>
              <w:rPr>
                <w:noProof/>
                <w:webHidden/>
              </w:rPr>
              <w:t>152</w:t>
            </w:r>
            <w:r>
              <w:rPr>
                <w:noProof/>
                <w:webHidden/>
              </w:rPr>
              <w:fldChar w:fldCharType="end"/>
            </w:r>
          </w:hyperlink>
        </w:p>
        <w:p w14:paraId="0C84319F" w14:textId="5D680284" w:rsidR="00AD4774" w:rsidRDefault="00AD4774">
          <w:pPr>
            <w:pStyle w:val="Sommario1"/>
            <w:rPr>
              <w:rFonts w:asciiTheme="minorHAnsi" w:eastAsiaTheme="minorEastAsia" w:hAnsiTheme="minorHAnsi" w:cstheme="minorBidi"/>
              <w:noProof/>
              <w:sz w:val="22"/>
              <w:lang w:val="it-IT" w:eastAsia="it-IT"/>
            </w:rPr>
          </w:pPr>
          <w:hyperlink w:anchor="_Toc215742690" w:history="1">
            <w:r w:rsidRPr="005C6910">
              <w:rPr>
                <w:rStyle w:val="Collegamentoipertestuale"/>
                <w:rFonts w:eastAsiaTheme="majorEastAsia"/>
                <w:noProof/>
              </w:rPr>
              <w:t>7. Conclusion and Findings</w:t>
            </w:r>
            <w:r>
              <w:rPr>
                <w:noProof/>
                <w:webHidden/>
              </w:rPr>
              <w:tab/>
            </w:r>
            <w:r>
              <w:rPr>
                <w:noProof/>
                <w:webHidden/>
              </w:rPr>
              <w:fldChar w:fldCharType="begin"/>
            </w:r>
            <w:r>
              <w:rPr>
                <w:noProof/>
                <w:webHidden/>
              </w:rPr>
              <w:instrText xml:space="preserve"> PAGEREF _Toc215742690 \h </w:instrText>
            </w:r>
            <w:r>
              <w:rPr>
                <w:noProof/>
                <w:webHidden/>
              </w:rPr>
            </w:r>
            <w:r>
              <w:rPr>
                <w:noProof/>
                <w:webHidden/>
              </w:rPr>
              <w:fldChar w:fldCharType="separate"/>
            </w:r>
            <w:r>
              <w:rPr>
                <w:noProof/>
                <w:webHidden/>
              </w:rPr>
              <w:t>155</w:t>
            </w:r>
            <w:r>
              <w:rPr>
                <w:noProof/>
                <w:webHidden/>
              </w:rPr>
              <w:fldChar w:fldCharType="end"/>
            </w:r>
          </w:hyperlink>
        </w:p>
        <w:p w14:paraId="46706998" w14:textId="66DF8CF7"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91" w:history="1">
            <w:r w:rsidRPr="005C6910">
              <w:rPr>
                <w:rStyle w:val="Collegamentoipertestuale"/>
                <w:rFonts w:eastAsiaTheme="majorEastAsia"/>
                <w:noProof/>
              </w:rPr>
              <w:t>7.1. Preliminary Findings</w:t>
            </w:r>
            <w:r>
              <w:rPr>
                <w:noProof/>
                <w:webHidden/>
              </w:rPr>
              <w:tab/>
            </w:r>
            <w:r>
              <w:rPr>
                <w:noProof/>
                <w:webHidden/>
              </w:rPr>
              <w:fldChar w:fldCharType="begin"/>
            </w:r>
            <w:r>
              <w:rPr>
                <w:noProof/>
                <w:webHidden/>
              </w:rPr>
              <w:instrText xml:space="preserve"> PAGEREF _Toc215742691 \h </w:instrText>
            </w:r>
            <w:r>
              <w:rPr>
                <w:noProof/>
                <w:webHidden/>
              </w:rPr>
            </w:r>
            <w:r>
              <w:rPr>
                <w:noProof/>
                <w:webHidden/>
              </w:rPr>
              <w:fldChar w:fldCharType="separate"/>
            </w:r>
            <w:r>
              <w:rPr>
                <w:noProof/>
                <w:webHidden/>
              </w:rPr>
              <w:t>155</w:t>
            </w:r>
            <w:r>
              <w:rPr>
                <w:noProof/>
                <w:webHidden/>
              </w:rPr>
              <w:fldChar w:fldCharType="end"/>
            </w:r>
          </w:hyperlink>
        </w:p>
        <w:p w14:paraId="618FB4F9" w14:textId="3BEBE361"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92" w:history="1">
            <w:r w:rsidRPr="005C6910">
              <w:rPr>
                <w:rStyle w:val="Collegamentoipertestuale"/>
                <w:rFonts w:eastAsiaTheme="majorEastAsia"/>
                <w:noProof/>
              </w:rPr>
              <w:t>7.2. Avenue for Future Research</w:t>
            </w:r>
            <w:r>
              <w:rPr>
                <w:noProof/>
                <w:webHidden/>
              </w:rPr>
              <w:tab/>
            </w:r>
            <w:r>
              <w:rPr>
                <w:noProof/>
                <w:webHidden/>
              </w:rPr>
              <w:fldChar w:fldCharType="begin"/>
            </w:r>
            <w:r>
              <w:rPr>
                <w:noProof/>
                <w:webHidden/>
              </w:rPr>
              <w:instrText xml:space="preserve"> PAGEREF _Toc215742692 \h </w:instrText>
            </w:r>
            <w:r>
              <w:rPr>
                <w:noProof/>
                <w:webHidden/>
              </w:rPr>
            </w:r>
            <w:r>
              <w:rPr>
                <w:noProof/>
                <w:webHidden/>
              </w:rPr>
              <w:fldChar w:fldCharType="separate"/>
            </w:r>
            <w:r>
              <w:rPr>
                <w:noProof/>
                <w:webHidden/>
              </w:rPr>
              <w:t>158</w:t>
            </w:r>
            <w:r>
              <w:rPr>
                <w:noProof/>
                <w:webHidden/>
              </w:rPr>
              <w:fldChar w:fldCharType="end"/>
            </w:r>
          </w:hyperlink>
        </w:p>
        <w:p w14:paraId="611E9C9B" w14:textId="6C51A2FC" w:rsidR="00AD4774" w:rsidRDefault="00AD4774">
          <w:pPr>
            <w:pStyle w:val="Sommario2"/>
            <w:tabs>
              <w:tab w:val="right" w:leader="dot" w:pos="10057"/>
            </w:tabs>
            <w:rPr>
              <w:rFonts w:asciiTheme="minorHAnsi" w:eastAsiaTheme="minorEastAsia" w:hAnsiTheme="minorHAnsi" w:cstheme="minorBidi"/>
              <w:noProof/>
              <w:sz w:val="22"/>
              <w:lang w:val="it-IT" w:eastAsia="it-IT"/>
            </w:rPr>
          </w:pPr>
          <w:hyperlink w:anchor="_Toc215742693" w:history="1">
            <w:r w:rsidRPr="005C6910">
              <w:rPr>
                <w:rStyle w:val="Collegamentoipertestuale"/>
                <w:rFonts w:eastAsiaTheme="majorEastAsia"/>
                <w:noProof/>
              </w:rPr>
              <w:t>7.3. Limitations</w:t>
            </w:r>
            <w:r>
              <w:rPr>
                <w:noProof/>
                <w:webHidden/>
              </w:rPr>
              <w:tab/>
            </w:r>
            <w:r>
              <w:rPr>
                <w:noProof/>
                <w:webHidden/>
              </w:rPr>
              <w:fldChar w:fldCharType="begin"/>
            </w:r>
            <w:r>
              <w:rPr>
                <w:noProof/>
                <w:webHidden/>
              </w:rPr>
              <w:instrText xml:space="preserve"> PAGEREF _Toc215742693 \h </w:instrText>
            </w:r>
            <w:r>
              <w:rPr>
                <w:noProof/>
                <w:webHidden/>
              </w:rPr>
            </w:r>
            <w:r>
              <w:rPr>
                <w:noProof/>
                <w:webHidden/>
              </w:rPr>
              <w:fldChar w:fldCharType="separate"/>
            </w:r>
            <w:r>
              <w:rPr>
                <w:noProof/>
                <w:webHidden/>
              </w:rPr>
              <w:t>159</w:t>
            </w:r>
            <w:r>
              <w:rPr>
                <w:noProof/>
                <w:webHidden/>
              </w:rPr>
              <w:fldChar w:fldCharType="end"/>
            </w:r>
          </w:hyperlink>
        </w:p>
        <w:p w14:paraId="6E6AD294" w14:textId="3C0EDEB3" w:rsidR="00AD4774" w:rsidRDefault="00AD4774">
          <w:pPr>
            <w:pStyle w:val="Sommario1"/>
            <w:rPr>
              <w:rFonts w:asciiTheme="minorHAnsi" w:eastAsiaTheme="minorEastAsia" w:hAnsiTheme="minorHAnsi" w:cstheme="minorBidi"/>
              <w:noProof/>
              <w:sz w:val="22"/>
              <w:lang w:val="it-IT" w:eastAsia="it-IT"/>
            </w:rPr>
          </w:pPr>
          <w:hyperlink w:anchor="_Toc215742694" w:history="1">
            <w:r w:rsidRPr="005C6910">
              <w:rPr>
                <w:rStyle w:val="Collegamentoipertestuale"/>
                <w:rFonts w:eastAsiaTheme="majorEastAsia"/>
                <w:noProof/>
              </w:rPr>
              <w:t>8. Bibliography</w:t>
            </w:r>
            <w:r>
              <w:rPr>
                <w:noProof/>
                <w:webHidden/>
              </w:rPr>
              <w:tab/>
            </w:r>
            <w:r>
              <w:rPr>
                <w:noProof/>
                <w:webHidden/>
              </w:rPr>
              <w:fldChar w:fldCharType="begin"/>
            </w:r>
            <w:r>
              <w:rPr>
                <w:noProof/>
                <w:webHidden/>
              </w:rPr>
              <w:instrText xml:space="preserve"> PAGEREF _Toc215742694 \h </w:instrText>
            </w:r>
            <w:r>
              <w:rPr>
                <w:noProof/>
                <w:webHidden/>
              </w:rPr>
            </w:r>
            <w:r>
              <w:rPr>
                <w:noProof/>
                <w:webHidden/>
              </w:rPr>
              <w:fldChar w:fldCharType="separate"/>
            </w:r>
            <w:r>
              <w:rPr>
                <w:noProof/>
                <w:webHidden/>
              </w:rPr>
              <w:t>161</w:t>
            </w:r>
            <w:r>
              <w:rPr>
                <w:noProof/>
                <w:webHidden/>
              </w:rPr>
              <w:fldChar w:fldCharType="end"/>
            </w:r>
          </w:hyperlink>
        </w:p>
        <w:p w14:paraId="131D63AA" w14:textId="6A6C53A9" w:rsidR="00AD4774" w:rsidRDefault="00AD4774">
          <w:pPr>
            <w:pStyle w:val="Sommario1"/>
            <w:rPr>
              <w:rFonts w:asciiTheme="minorHAnsi" w:eastAsiaTheme="minorEastAsia" w:hAnsiTheme="minorHAnsi" w:cstheme="minorBidi"/>
              <w:noProof/>
              <w:sz w:val="22"/>
              <w:lang w:val="it-IT" w:eastAsia="it-IT"/>
            </w:rPr>
          </w:pPr>
          <w:hyperlink w:anchor="_Toc215742695" w:history="1">
            <w:r w:rsidRPr="005C6910">
              <w:rPr>
                <w:rStyle w:val="Collegamentoipertestuale"/>
                <w:rFonts w:eastAsiaTheme="majorEastAsia"/>
                <w:noProof/>
              </w:rPr>
              <w:t>9. Supplementary Documents: ANNEX</w:t>
            </w:r>
            <w:r>
              <w:rPr>
                <w:noProof/>
                <w:webHidden/>
              </w:rPr>
              <w:tab/>
            </w:r>
            <w:r>
              <w:rPr>
                <w:noProof/>
                <w:webHidden/>
              </w:rPr>
              <w:fldChar w:fldCharType="begin"/>
            </w:r>
            <w:r>
              <w:rPr>
                <w:noProof/>
                <w:webHidden/>
              </w:rPr>
              <w:instrText xml:space="preserve"> PAGEREF _Toc215742695 \h </w:instrText>
            </w:r>
            <w:r>
              <w:rPr>
                <w:noProof/>
                <w:webHidden/>
              </w:rPr>
            </w:r>
            <w:r>
              <w:rPr>
                <w:noProof/>
                <w:webHidden/>
              </w:rPr>
              <w:fldChar w:fldCharType="separate"/>
            </w:r>
            <w:r>
              <w:rPr>
                <w:noProof/>
                <w:webHidden/>
              </w:rPr>
              <w:t>186</w:t>
            </w:r>
            <w:r>
              <w:rPr>
                <w:noProof/>
                <w:webHidden/>
              </w:rPr>
              <w:fldChar w:fldCharType="end"/>
            </w:r>
          </w:hyperlink>
        </w:p>
        <w:p w14:paraId="41AF2CA0" w14:textId="21F5B936" w:rsidR="008227BD" w:rsidRDefault="008227BD" w:rsidP="008227BD">
          <w:pPr>
            <w:spacing w:line="240" w:lineRule="auto"/>
          </w:pPr>
          <w:r w:rsidRPr="008227BD">
            <w:rPr>
              <w:b/>
              <w:bCs/>
              <w:szCs w:val="24"/>
            </w:rPr>
            <w:fldChar w:fldCharType="end"/>
          </w:r>
        </w:p>
      </w:sdtContent>
    </w:sdt>
    <w:p w14:paraId="074CBF97" w14:textId="77777777" w:rsidR="00C13219" w:rsidRPr="00B32F43" w:rsidRDefault="00C13219" w:rsidP="00031785">
      <w:pPr>
        <w:pStyle w:val="Corpotesto"/>
        <w:spacing w:before="176"/>
        <w:ind w:right="420"/>
        <w:jc w:val="left"/>
        <w:rPr>
          <w:smallCaps/>
          <w:spacing w:val="-2"/>
        </w:rPr>
      </w:pPr>
    </w:p>
    <w:p w14:paraId="498955FC" w14:textId="77777777" w:rsidR="00E94FF6" w:rsidRDefault="00E94FF6" w:rsidP="004F4D91">
      <w:pPr>
        <w:spacing w:before="176"/>
        <w:ind w:left="283" w:right="420"/>
        <w:rPr>
          <w:smallCaps/>
          <w:spacing w:val="-2"/>
        </w:rPr>
      </w:pPr>
    </w:p>
    <w:p w14:paraId="71386348" w14:textId="5753EBC9" w:rsidR="0087310A" w:rsidRPr="00E94FF6" w:rsidRDefault="0087310A" w:rsidP="004F4D91">
      <w:pPr>
        <w:spacing w:before="176"/>
        <w:ind w:left="283" w:right="420"/>
        <w:rPr>
          <w:smallCaps/>
          <w:spacing w:val="-2"/>
          <w:szCs w:val="24"/>
          <w:lang w:val="it-IT"/>
        </w:rPr>
      </w:pPr>
      <w:r w:rsidRPr="00E94FF6">
        <w:rPr>
          <w:smallCaps/>
          <w:spacing w:val="-2"/>
          <w:lang w:val="it-IT"/>
        </w:rPr>
        <w:br w:type="page"/>
      </w:r>
    </w:p>
    <w:p w14:paraId="1B45B3E0" w14:textId="1BC17ED3" w:rsidR="0087310A" w:rsidRPr="00B32F43" w:rsidRDefault="0087310A" w:rsidP="006F08D3">
      <w:pPr>
        <w:pStyle w:val="Titolo1"/>
      </w:pPr>
      <w:bookmarkStart w:id="2" w:name="_Toc215742620"/>
      <w:r w:rsidRPr="00B32F43">
        <w:t>Acknowledgments</w:t>
      </w:r>
      <w:bookmarkEnd w:id="2"/>
    </w:p>
    <w:p w14:paraId="760FF38D" w14:textId="77777777" w:rsidR="0087310A" w:rsidRPr="00B32F43" w:rsidRDefault="0087310A" w:rsidP="004F4D91">
      <w:pPr>
        <w:pStyle w:val="Corpotesto"/>
        <w:spacing w:before="176"/>
        <w:ind w:left="283" w:right="420" w:firstLine="709"/>
      </w:pPr>
    </w:p>
    <w:p w14:paraId="692B2503" w14:textId="75933FDF" w:rsidR="0087310A" w:rsidRPr="00B32F43" w:rsidRDefault="0087310A" w:rsidP="004F4D91">
      <w:pPr>
        <w:pStyle w:val="Corpotesto"/>
        <w:spacing w:before="176"/>
        <w:ind w:left="283" w:right="420" w:firstLine="709"/>
      </w:pPr>
      <w:r>
        <w:t xml:space="preserve">This section will be filled out prior to the </w:t>
      </w:r>
      <w:r w:rsidR="6827B3BA">
        <w:t>final paper's submission</w:t>
      </w:r>
      <w:r>
        <w:t>.</w:t>
      </w:r>
    </w:p>
    <w:p w14:paraId="6766C59E" w14:textId="290BE7CB" w:rsidR="0087310A" w:rsidRPr="00B32F43" w:rsidRDefault="0087310A" w:rsidP="004F4D91">
      <w:pPr>
        <w:pStyle w:val="Corpotesto"/>
        <w:spacing w:before="176"/>
        <w:ind w:left="283" w:right="420"/>
        <w:jc w:val="left"/>
      </w:pPr>
    </w:p>
    <w:p w14:paraId="48C81097" w14:textId="77777777" w:rsidR="0087310A" w:rsidRPr="00B32F43" w:rsidRDefault="0087310A" w:rsidP="004F4D91">
      <w:pPr>
        <w:spacing w:before="176"/>
        <w:ind w:left="283" w:right="420"/>
        <w:rPr>
          <w:szCs w:val="24"/>
        </w:rPr>
      </w:pPr>
      <w:r w:rsidRPr="00B32F43">
        <w:br w:type="page"/>
      </w:r>
    </w:p>
    <w:p w14:paraId="036A6727" w14:textId="0912123D" w:rsidR="003B27B4" w:rsidRDefault="00EA662B" w:rsidP="00FF4BA0">
      <w:pPr>
        <w:pStyle w:val="Titolo1"/>
      </w:pPr>
      <w:bookmarkStart w:id="3" w:name="_Toc215742621"/>
      <w:r>
        <w:t>List of Figures</w:t>
      </w:r>
      <w:bookmarkEnd w:id="3"/>
    </w:p>
    <w:p w14:paraId="73D608C9" w14:textId="363E82F9" w:rsidR="00AD4774" w:rsidRPr="00AD4774" w:rsidRDefault="001C5F72">
      <w:pPr>
        <w:pStyle w:val="Indicedellefigure"/>
        <w:tabs>
          <w:tab w:val="right" w:leader="dot" w:pos="10057"/>
        </w:tabs>
        <w:rPr>
          <w:rFonts w:asciiTheme="minorHAnsi" w:eastAsiaTheme="minorEastAsia" w:hAnsiTheme="minorHAnsi" w:cstheme="minorBidi"/>
          <w:noProof/>
          <w:sz w:val="22"/>
          <w:lang w:eastAsia="it-IT"/>
        </w:rPr>
      </w:pPr>
      <w:r>
        <w:fldChar w:fldCharType="begin"/>
      </w:r>
      <w:r>
        <w:instrText xml:space="preserve"> TOC \c "Figure" </w:instrText>
      </w:r>
      <w:r>
        <w:fldChar w:fldCharType="separate"/>
      </w:r>
      <w:r w:rsidR="00AD4774" w:rsidRPr="00971DE4">
        <w:rPr>
          <w:noProof/>
        </w:rPr>
        <w:t>Figure 1: The Hero-Protector Narrative Structure (Source: Sangar et al. 2018, 190).</w:t>
      </w:r>
      <w:r w:rsidR="00AD4774">
        <w:rPr>
          <w:noProof/>
        </w:rPr>
        <w:tab/>
      </w:r>
      <w:r w:rsidR="00AD4774">
        <w:rPr>
          <w:noProof/>
        </w:rPr>
        <w:fldChar w:fldCharType="begin"/>
      </w:r>
      <w:r w:rsidR="00AD4774">
        <w:rPr>
          <w:noProof/>
        </w:rPr>
        <w:instrText xml:space="preserve"> PAGEREF _Toc215742696 \h </w:instrText>
      </w:r>
      <w:r w:rsidR="00AD4774">
        <w:rPr>
          <w:noProof/>
        </w:rPr>
      </w:r>
      <w:r w:rsidR="00AD4774">
        <w:rPr>
          <w:noProof/>
        </w:rPr>
        <w:fldChar w:fldCharType="separate"/>
      </w:r>
      <w:r w:rsidR="00AD4774">
        <w:rPr>
          <w:noProof/>
        </w:rPr>
        <w:t>41</w:t>
      </w:r>
      <w:r w:rsidR="00AD4774">
        <w:rPr>
          <w:noProof/>
        </w:rPr>
        <w:fldChar w:fldCharType="end"/>
      </w:r>
    </w:p>
    <w:p w14:paraId="751BF71C" w14:textId="0808101D" w:rsidR="00AD4774" w:rsidRPr="00AD4774" w:rsidRDefault="00AD4774">
      <w:pPr>
        <w:pStyle w:val="Indicedellefigure"/>
        <w:tabs>
          <w:tab w:val="right" w:leader="dot" w:pos="10057"/>
        </w:tabs>
        <w:rPr>
          <w:rFonts w:asciiTheme="minorHAnsi" w:eastAsiaTheme="minorEastAsia" w:hAnsiTheme="minorHAnsi" w:cstheme="minorBidi"/>
          <w:noProof/>
          <w:sz w:val="22"/>
          <w:lang w:eastAsia="it-IT"/>
        </w:rPr>
      </w:pPr>
      <w:r w:rsidRPr="00971DE4">
        <w:rPr>
          <w:noProof/>
        </w:rPr>
        <w:t>Figure 2: The “Research Onion” (Source:  Saunders et al. 2019)</w:t>
      </w:r>
      <w:r>
        <w:rPr>
          <w:noProof/>
        </w:rPr>
        <w:tab/>
      </w:r>
      <w:r>
        <w:rPr>
          <w:noProof/>
        </w:rPr>
        <w:fldChar w:fldCharType="begin"/>
      </w:r>
      <w:r>
        <w:rPr>
          <w:noProof/>
        </w:rPr>
        <w:instrText xml:space="preserve"> PAGEREF _Toc215742697 \h </w:instrText>
      </w:r>
      <w:r>
        <w:rPr>
          <w:noProof/>
        </w:rPr>
      </w:r>
      <w:r>
        <w:rPr>
          <w:noProof/>
        </w:rPr>
        <w:fldChar w:fldCharType="separate"/>
      </w:r>
      <w:r>
        <w:rPr>
          <w:noProof/>
        </w:rPr>
        <w:t>87</w:t>
      </w:r>
      <w:r>
        <w:rPr>
          <w:noProof/>
        </w:rPr>
        <w:fldChar w:fldCharType="end"/>
      </w:r>
    </w:p>
    <w:p w14:paraId="4CE3E32F" w14:textId="2ED8AAFE" w:rsidR="00AD4774" w:rsidRPr="00AD4774" w:rsidRDefault="00AD4774">
      <w:pPr>
        <w:pStyle w:val="Indicedellefigure"/>
        <w:tabs>
          <w:tab w:val="right" w:leader="dot" w:pos="10057"/>
        </w:tabs>
        <w:rPr>
          <w:rFonts w:asciiTheme="minorHAnsi" w:eastAsiaTheme="minorEastAsia" w:hAnsiTheme="minorHAnsi" w:cstheme="minorBidi"/>
          <w:noProof/>
          <w:sz w:val="22"/>
          <w:lang w:eastAsia="it-IT"/>
        </w:rPr>
      </w:pPr>
      <w:r w:rsidRPr="00971DE4">
        <w:rPr>
          <w:noProof/>
        </w:rPr>
        <w:t>Figure 3: Monument "The centuries-old friendship between the Armenian and Russian peoples is blessed” in Central Yerevan. (Source: Visit Yerevan)</w:t>
      </w:r>
      <w:r>
        <w:rPr>
          <w:noProof/>
        </w:rPr>
        <w:tab/>
      </w:r>
      <w:r>
        <w:rPr>
          <w:noProof/>
        </w:rPr>
        <w:fldChar w:fldCharType="begin"/>
      </w:r>
      <w:r>
        <w:rPr>
          <w:noProof/>
        </w:rPr>
        <w:instrText xml:space="preserve"> PAGEREF _Toc215742698 \h </w:instrText>
      </w:r>
      <w:r>
        <w:rPr>
          <w:noProof/>
        </w:rPr>
      </w:r>
      <w:r>
        <w:rPr>
          <w:noProof/>
        </w:rPr>
        <w:fldChar w:fldCharType="separate"/>
      </w:r>
      <w:r>
        <w:rPr>
          <w:noProof/>
        </w:rPr>
        <w:t>113</w:t>
      </w:r>
      <w:r>
        <w:rPr>
          <w:noProof/>
        </w:rPr>
        <w:fldChar w:fldCharType="end"/>
      </w:r>
    </w:p>
    <w:p w14:paraId="5D8F5F35" w14:textId="55DC8F69" w:rsidR="00AD4774" w:rsidRPr="00AD4774" w:rsidRDefault="00AD4774">
      <w:pPr>
        <w:pStyle w:val="Indicedellefigure"/>
        <w:tabs>
          <w:tab w:val="right" w:leader="dot" w:pos="10057"/>
        </w:tabs>
        <w:rPr>
          <w:rFonts w:asciiTheme="minorHAnsi" w:eastAsiaTheme="minorEastAsia" w:hAnsiTheme="minorHAnsi" w:cstheme="minorBidi"/>
          <w:noProof/>
          <w:sz w:val="22"/>
          <w:lang w:eastAsia="it-IT"/>
        </w:rPr>
      </w:pPr>
      <w:r w:rsidRPr="00971DE4">
        <w:rPr>
          <w:noProof/>
        </w:rPr>
        <w:t>Figure 4: Map of the Caucasus in the Late 18th century with the Designation of Eastern and Western Armenia. (Source: Bournoutian 1997, 45).</w:t>
      </w:r>
      <w:r>
        <w:rPr>
          <w:noProof/>
        </w:rPr>
        <w:tab/>
      </w:r>
      <w:r>
        <w:rPr>
          <w:noProof/>
        </w:rPr>
        <w:fldChar w:fldCharType="begin"/>
      </w:r>
      <w:r>
        <w:rPr>
          <w:noProof/>
        </w:rPr>
        <w:instrText xml:space="preserve"> PAGEREF _Toc215742699 \h </w:instrText>
      </w:r>
      <w:r>
        <w:rPr>
          <w:noProof/>
        </w:rPr>
      </w:r>
      <w:r>
        <w:rPr>
          <w:noProof/>
        </w:rPr>
        <w:fldChar w:fldCharType="separate"/>
      </w:r>
      <w:r>
        <w:rPr>
          <w:noProof/>
        </w:rPr>
        <w:t>128</w:t>
      </w:r>
      <w:r>
        <w:rPr>
          <w:noProof/>
        </w:rPr>
        <w:fldChar w:fldCharType="end"/>
      </w:r>
    </w:p>
    <w:p w14:paraId="60446BFD" w14:textId="6C637B9A" w:rsidR="00AD4774" w:rsidRDefault="00AD4774">
      <w:pPr>
        <w:pStyle w:val="Indicedellefigure"/>
        <w:tabs>
          <w:tab w:val="right" w:leader="dot" w:pos="10057"/>
        </w:tabs>
        <w:rPr>
          <w:rFonts w:asciiTheme="minorHAnsi" w:eastAsiaTheme="minorEastAsia" w:hAnsiTheme="minorHAnsi" w:cstheme="minorBidi"/>
          <w:noProof/>
          <w:sz w:val="22"/>
          <w:lang w:val="it-IT" w:eastAsia="it-IT"/>
        </w:rPr>
      </w:pPr>
      <w:r w:rsidRPr="00971DE4">
        <w:rPr>
          <w:noProof/>
        </w:rPr>
        <w:t>Figure 5: The Cover of the June 30, 2016, edition of "Excelsior" featured an illustration of a Russian soldier on horseback holding a refugee child. The image was labeled, "The Symbol of Russian Protection of the Armenians.” (Source, Darbinyan, 2016)</w:t>
      </w:r>
      <w:r>
        <w:rPr>
          <w:noProof/>
        </w:rPr>
        <w:tab/>
      </w:r>
      <w:r>
        <w:rPr>
          <w:noProof/>
        </w:rPr>
        <w:fldChar w:fldCharType="begin"/>
      </w:r>
      <w:r>
        <w:rPr>
          <w:noProof/>
        </w:rPr>
        <w:instrText xml:space="preserve"> PAGEREF _Toc215742700 \h </w:instrText>
      </w:r>
      <w:r>
        <w:rPr>
          <w:noProof/>
        </w:rPr>
      </w:r>
      <w:r>
        <w:rPr>
          <w:noProof/>
        </w:rPr>
        <w:fldChar w:fldCharType="separate"/>
      </w:r>
      <w:r>
        <w:rPr>
          <w:noProof/>
        </w:rPr>
        <w:t>133</w:t>
      </w:r>
      <w:r>
        <w:rPr>
          <w:noProof/>
        </w:rPr>
        <w:fldChar w:fldCharType="end"/>
      </w:r>
    </w:p>
    <w:p w14:paraId="15527173" w14:textId="2346F29C" w:rsidR="001C5F72" w:rsidRDefault="001C5F72" w:rsidP="00FF4BA0">
      <w:pPr>
        <w:pStyle w:val="Titolo1"/>
      </w:pPr>
      <w:r>
        <w:fldChar w:fldCharType="end"/>
      </w:r>
    </w:p>
    <w:p w14:paraId="0A978591" w14:textId="73CF34CB" w:rsidR="00EA662B" w:rsidRDefault="00EA662B" w:rsidP="00FF4BA0">
      <w:pPr>
        <w:pStyle w:val="Titolo1"/>
      </w:pPr>
    </w:p>
    <w:p w14:paraId="72707109" w14:textId="5EAD61AD" w:rsidR="00B12E3E" w:rsidRDefault="00B12E3E" w:rsidP="00FF4BA0">
      <w:pPr>
        <w:pStyle w:val="Titolo1"/>
      </w:pPr>
    </w:p>
    <w:p w14:paraId="3250393F" w14:textId="77777777" w:rsidR="00A56634" w:rsidRDefault="00A56634" w:rsidP="00FF4BA0">
      <w:pPr>
        <w:pStyle w:val="Titolo1"/>
      </w:pPr>
    </w:p>
    <w:p w14:paraId="3C8909FB" w14:textId="4199549F" w:rsidR="00B12E3E" w:rsidRDefault="009F3B37" w:rsidP="00FF4BA0">
      <w:pPr>
        <w:pStyle w:val="Titolo1"/>
      </w:pPr>
      <w:bookmarkStart w:id="4" w:name="_Toc215742622"/>
      <w:r>
        <w:t>List of Tables</w:t>
      </w:r>
      <w:bookmarkEnd w:id="4"/>
    </w:p>
    <w:p w14:paraId="194DE2D3" w14:textId="1AE64246" w:rsidR="00AD4774" w:rsidRPr="00AD4774" w:rsidRDefault="00A56634">
      <w:pPr>
        <w:pStyle w:val="Indicedellefigure"/>
        <w:tabs>
          <w:tab w:val="right" w:leader="dot" w:pos="10057"/>
        </w:tabs>
        <w:rPr>
          <w:rFonts w:asciiTheme="minorHAnsi" w:eastAsiaTheme="minorEastAsia" w:hAnsiTheme="minorHAnsi" w:cstheme="minorBidi"/>
          <w:noProof/>
          <w:sz w:val="22"/>
          <w:lang w:eastAsia="it-IT"/>
        </w:rPr>
      </w:pPr>
      <w:r>
        <w:fldChar w:fldCharType="begin"/>
      </w:r>
      <w:r>
        <w:instrText xml:space="preserve"> TOC \c "Table" </w:instrText>
      </w:r>
      <w:r>
        <w:fldChar w:fldCharType="separate"/>
      </w:r>
      <w:r w:rsidR="00AD4774" w:rsidRPr="00047E74">
        <w:rPr>
          <w:noProof/>
        </w:rPr>
        <w:t>Table 1: Russia’s Efforts in the Nagorno-Karabakh Peace Process (1992 - 2023). (Source: the Author through Datawrapper)</w:t>
      </w:r>
      <w:r w:rsidR="00AD4774">
        <w:rPr>
          <w:noProof/>
        </w:rPr>
        <w:tab/>
      </w:r>
      <w:r w:rsidR="00AD4774">
        <w:rPr>
          <w:noProof/>
        </w:rPr>
        <w:fldChar w:fldCharType="begin"/>
      </w:r>
      <w:r w:rsidR="00AD4774">
        <w:rPr>
          <w:noProof/>
        </w:rPr>
        <w:instrText xml:space="preserve"> PAGEREF _Toc215742701 \h </w:instrText>
      </w:r>
      <w:r w:rsidR="00AD4774">
        <w:rPr>
          <w:noProof/>
        </w:rPr>
      </w:r>
      <w:r w:rsidR="00AD4774">
        <w:rPr>
          <w:noProof/>
        </w:rPr>
        <w:fldChar w:fldCharType="separate"/>
      </w:r>
      <w:r w:rsidR="00AD4774">
        <w:rPr>
          <w:noProof/>
        </w:rPr>
        <w:t>63</w:t>
      </w:r>
      <w:r w:rsidR="00AD4774">
        <w:rPr>
          <w:noProof/>
        </w:rPr>
        <w:fldChar w:fldCharType="end"/>
      </w:r>
    </w:p>
    <w:p w14:paraId="5C036CE0" w14:textId="37F7E903" w:rsidR="00AD4774" w:rsidRPr="00AD4774" w:rsidRDefault="00AD4774">
      <w:pPr>
        <w:pStyle w:val="Indicedellefigure"/>
        <w:tabs>
          <w:tab w:val="right" w:leader="dot" w:pos="10057"/>
        </w:tabs>
        <w:rPr>
          <w:rFonts w:asciiTheme="minorHAnsi" w:eastAsiaTheme="minorEastAsia" w:hAnsiTheme="minorHAnsi" w:cstheme="minorBidi"/>
          <w:noProof/>
          <w:sz w:val="22"/>
          <w:lang w:eastAsia="it-IT"/>
        </w:rPr>
      </w:pPr>
      <w:r w:rsidRPr="00047E74">
        <w:rPr>
          <w:noProof/>
        </w:rPr>
        <w:t>Table 2: Roles within the Hero-Protector Framework (Source: the Author).</w:t>
      </w:r>
      <w:r>
        <w:rPr>
          <w:noProof/>
        </w:rPr>
        <w:tab/>
      </w:r>
      <w:r>
        <w:rPr>
          <w:noProof/>
        </w:rPr>
        <w:fldChar w:fldCharType="begin"/>
      </w:r>
      <w:r>
        <w:rPr>
          <w:noProof/>
        </w:rPr>
        <w:instrText xml:space="preserve"> PAGEREF _Toc215742702 \h </w:instrText>
      </w:r>
      <w:r>
        <w:rPr>
          <w:noProof/>
        </w:rPr>
      </w:r>
      <w:r>
        <w:rPr>
          <w:noProof/>
        </w:rPr>
        <w:fldChar w:fldCharType="separate"/>
      </w:r>
      <w:r>
        <w:rPr>
          <w:noProof/>
        </w:rPr>
        <w:t>157</w:t>
      </w:r>
      <w:r>
        <w:rPr>
          <w:noProof/>
        </w:rPr>
        <w:fldChar w:fldCharType="end"/>
      </w:r>
    </w:p>
    <w:p w14:paraId="648C20E0" w14:textId="73EE555E" w:rsidR="00B12E3E" w:rsidRDefault="00A56634" w:rsidP="00A56634">
      <w:pPr>
        <w:ind w:firstLine="0"/>
      </w:pPr>
      <w:r>
        <w:fldChar w:fldCharType="end"/>
      </w:r>
    </w:p>
    <w:p w14:paraId="0E59C5CF" w14:textId="77777777" w:rsidR="00A56634" w:rsidRDefault="00A56634" w:rsidP="00FF4BA0">
      <w:pPr>
        <w:pStyle w:val="Titolo1"/>
      </w:pPr>
    </w:p>
    <w:p w14:paraId="7CDAE84D" w14:textId="77777777" w:rsidR="00A56634" w:rsidRDefault="00A56634" w:rsidP="00FF4BA0">
      <w:pPr>
        <w:pStyle w:val="Titolo1"/>
      </w:pPr>
    </w:p>
    <w:p w14:paraId="4C1A6A7F" w14:textId="77777777" w:rsidR="00A56634" w:rsidRDefault="00A56634" w:rsidP="00FF4BA0">
      <w:pPr>
        <w:pStyle w:val="Titolo1"/>
      </w:pPr>
    </w:p>
    <w:p w14:paraId="45E37795" w14:textId="1681B314" w:rsidR="003B27B4" w:rsidRDefault="001C5F72" w:rsidP="00FF4BA0">
      <w:pPr>
        <w:pStyle w:val="Titolo1"/>
      </w:pPr>
      <w:bookmarkStart w:id="5" w:name="_Toc215742623"/>
      <w:r>
        <w:t>List of Maps</w:t>
      </w:r>
      <w:bookmarkEnd w:id="5"/>
    </w:p>
    <w:p w14:paraId="032F3ECD" w14:textId="6B8498B9" w:rsidR="00AD4774" w:rsidRDefault="00B12E3E">
      <w:pPr>
        <w:pStyle w:val="Indicedellefigure"/>
        <w:tabs>
          <w:tab w:val="right" w:leader="dot" w:pos="10057"/>
        </w:tabs>
        <w:rPr>
          <w:rFonts w:asciiTheme="minorHAnsi" w:eastAsiaTheme="minorEastAsia" w:hAnsiTheme="minorHAnsi" w:cstheme="minorBidi"/>
          <w:noProof/>
          <w:sz w:val="22"/>
          <w:lang w:val="it-IT" w:eastAsia="it-IT"/>
        </w:rPr>
      </w:pPr>
      <w:r>
        <w:fldChar w:fldCharType="begin"/>
      </w:r>
      <w:r>
        <w:instrText xml:space="preserve"> TOC \c "Map" </w:instrText>
      </w:r>
      <w:r>
        <w:fldChar w:fldCharType="separate"/>
      </w:r>
      <w:r w:rsidR="00AD4774" w:rsidRPr="00BE2C47">
        <w:rPr>
          <w:noProof/>
        </w:rPr>
        <w:t>Map 1: Armenia, Azerbaijan, and Nagorno-Karabakh. (Source: the Author through Datawrapper).</w:t>
      </w:r>
      <w:r w:rsidR="00AD4774">
        <w:rPr>
          <w:noProof/>
        </w:rPr>
        <w:tab/>
      </w:r>
      <w:r w:rsidR="00AD4774">
        <w:rPr>
          <w:noProof/>
        </w:rPr>
        <w:fldChar w:fldCharType="begin"/>
      </w:r>
      <w:r w:rsidR="00AD4774">
        <w:rPr>
          <w:noProof/>
        </w:rPr>
        <w:instrText xml:space="preserve"> PAGEREF _Toc215742703 \h </w:instrText>
      </w:r>
      <w:r w:rsidR="00AD4774">
        <w:rPr>
          <w:noProof/>
        </w:rPr>
      </w:r>
      <w:r w:rsidR="00AD4774">
        <w:rPr>
          <w:noProof/>
        </w:rPr>
        <w:fldChar w:fldCharType="separate"/>
      </w:r>
      <w:r w:rsidR="00AD4774">
        <w:rPr>
          <w:noProof/>
        </w:rPr>
        <w:t>45</w:t>
      </w:r>
      <w:r w:rsidR="00AD4774">
        <w:rPr>
          <w:noProof/>
        </w:rPr>
        <w:fldChar w:fldCharType="end"/>
      </w:r>
    </w:p>
    <w:p w14:paraId="31C51156" w14:textId="58E3E20C" w:rsidR="00BD769C" w:rsidRDefault="00B12E3E" w:rsidP="00FF4BA0">
      <w:pPr>
        <w:pStyle w:val="Titolo1"/>
      </w:pPr>
      <w:r>
        <w:fldChar w:fldCharType="end"/>
      </w:r>
    </w:p>
    <w:p w14:paraId="76C91898" w14:textId="167D80FA" w:rsidR="0087310A" w:rsidRDefault="0087310A" w:rsidP="00FF4BA0">
      <w:pPr>
        <w:pStyle w:val="Titolo1"/>
      </w:pPr>
      <w:bookmarkStart w:id="6" w:name="_Toc215742624"/>
      <w:r w:rsidRPr="00B32F43">
        <w:t>Abbreviations</w:t>
      </w:r>
      <w:bookmarkEnd w:id="6"/>
    </w:p>
    <w:p w14:paraId="6C01EAE6" w14:textId="77777777" w:rsidR="00EF7E07" w:rsidRDefault="00EF7E07" w:rsidP="00EF7E07">
      <w:pPr>
        <w:jc w:val="center"/>
        <w:rPr>
          <w:rStyle w:val="Enfasigrassetto"/>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2"/>
        <w:gridCol w:w="4605"/>
      </w:tblGrid>
      <w:tr w:rsidR="003B27B4" w:rsidRPr="00A14590" w14:paraId="480C67A0" w14:textId="707CADA7" w:rsidTr="003B27B4">
        <w:trPr>
          <w:jc w:val="center"/>
        </w:trPr>
        <w:tc>
          <w:tcPr>
            <w:tcW w:w="5452" w:type="dxa"/>
          </w:tcPr>
          <w:p w14:paraId="35E90909" w14:textId="109FECCF" w:rsidR="003B27B4" w:rsidRPr="00A14590" w:rsidRDefault="003B27B4" w:rsidP="00A14590">
            <w:pPr>
              <w:ind w:firstLine="0"/>
              <w:jc w:val="center"/>
            </w:pPr>
            <w:r w:rsidRPr="00A14590">
              <w:rPr>
                <w:rStyle w:val="Enfasigrassetto"/>
              </w:rPr>
              <w:t>BBC</w:t>
            </w:r>
          </w:p>
        </w:tc>
        <w:tc>
          <w:tcPr>
            <w:tcW w:w="4605" w:type="dxa"/>
          </w:tcPr>
          <w:p w14:paraId="7A1EC125" w14:textId="624C8DC6" w:rsidR="003B27B4" w:rsidRPr="00A14590" w:rsidRDefault="003B27B4" w:rsidP="00A14590">
            <w:pPr>
              <w:ind w:firstLine="0"/>
              <w:jc w:val="center"/>
              <w:rPr>
                <w:rStyle w:val="Enfasigrassetto"/>
              </w:rPr>
            </w:pPr>
            <w:r w:rsidRPr="00A14590">
              <w:t>British Broadcasting Corporation</w:t>
            </w:r>
          </w:p>
        </w:tc>
      </w:tr>
      <w:tr w:rsidR="003B27B4" w:rsidRPr="00A14590" w14:paraId="0D85819D" w14:textId="77777777" w:rsidTr="003B27B4">
        <w:trPr>
          <w:jc w:val="center"/>
        </w:trPr>
        <w:tc>
          <w:tcPr>
            <w:tcW w:w="5452" w:type="dxa"/>
          </w:tcPr>
          <w:p w14:paraId="73206744" w14:textId="3430B5CC" w:rsidR="003B27B4" w:rsidRPr="00A14590" w:rsidRDefault="003B27B4" w:rsidP="00A14590">
            <w:pPr>
              <w:ind w:firstLine="0"/>
              <w:jc w:val="center"/>
              <w:rPr>
                <w:rStyle w:val="Enfasigrassetto"/>
              </w:rPr>
            </w:pPr>
            <w:r w:rsidRPr="00A14590">
              <w:rPr>
                <w:rStyle w:val="Enfasigrassetto"/>
              </w:rPr>
              <w:t>CIS</w:t>
            </w:r>
            <w:r w:rsidRPr="00A14590">
              <w:t xml:space="preserve"> </w:t>
            </w:r>
          </w:p>
        </w:tc>
        <w:tc>
          <w:tcPr>
            <w:tcW w:w="4605" w:type="dxa"/>
          </w:tcPr>
          <w:p w14:paraId="3D269DEE" w14:textId="4BBB350A" w:rsidR="003B27B4" w:rsidRPr="00A14590" w:rsidRDefault="003B27B4" w:rsidP="00A14590">
            <w:pPr>
              <w:ind w:firstLine="0"/>
              <w:jc w:val="center"/>
              <w:rPr>
                <w:rStyle w:val="Enfasigrassetto"/>
              </w:rPr>
            </w:pPr>
            <w:r w:rsidRPr="00A14590">
              <w:t>Commonwealth of Independent States</w:t>
            </w:r>
          </w:p>
        </w:tc>
      </w:tr>
      <w:tr w:rsidR="003B27B4" w:rsidRPr="00A14590" w14:paraId="00AC86EB" w14:textId="08E4B4C9" w:rsidTr="003B27B4">
        <w:trPr>
          <w:jc w:val="center"/>
        </w:trPr>
        <w:tc>
          <w:tcPr>
            <w:tcW w:w="5452" w:type="dxa"/>
          </w:tcPr>
          <w:p w14:paraId="1EF0384C" w14:textId="101DB1CF" w:rsidR="003B27B4" w:rsidRPr="00A14590" w:rsidRDefault="003B27B4" w:rsidP="00A14590">
            <w:pPr>
              <w:ind w:firstLine="0"/>
              <w:jc w:val="center"/>
              <w:rPr>
                <w:rStyle w:val="Enfasigrassetto"/>
                <w:b w:val="0"/>
              </w:rPr>
            </w:pPr>
            <w:r w:rsidRPr="00A14590">
              <w:rPr>
                <w:rStyle w:val="Enfasigrassetto"/>
              </w:rPr>
              <w:t xml:space="preserve">CNN </w:t>
            </w:r>
          </w:p>
        </w:tc>
        <w:tc>
          <w:tcPr>
            <w:tcW w:w="4605" w:type="dxa"/>
          </w:tcPr>
          <w:p w14:paraId="48F83EBD" w14:textId="5E3B1C74" w:rsidR="003B27B4" w:rsidRPr="00A14590" w:rsidRDefault="003B27B4" w:rsidP="00A14590">
            <w:pPr>
              <w:ind w:firstLine="0"/>
              <w:jc w:val="center"/>
              <w:rPr>
                <w:rStyle w:val="Enfasigrassetto"/>
              </w:rPr>
            </w:pPr>
            <w:r w:rsidRPr="00A14590">
              <w:rPr>
                <w:rStyle w:val="Enfasigrassetto"/>
                <w:b w:val="0"/>
              </w:rPr>
              <w:t>Cable News Network</w:t>
            </w:r>
          </w:p>
        </w:tc>
      </w:tr>
      <w:tr w:rsidR="003B27B4" w:rsidRPr="00A14590" w14:paraId="761C8C60" w14:textId="768BA994" w:rsidTr="003B27B4">
        <w:trPr>
          <w:jc w:val="center"/>
        </w:trPr>
        <w:tc>
          <w:tcPr>
            <w:tcW w:w="5452" w:type="dxa"/>
          </w:tcPr>
          <w:p w14:paraId="75C08789" w14:textId="62658B3B" w:rsidR="003B27B4" w:rsidRPr="00A14590" w:rsidRDefault="003B27B4" w:rsidP="00A14590">
            <w:pPr>
              <w:ind w:firstLine="0"/>
              <w:jc w:val="center"/>
              <w:rPr>
                <w:rStyle w:val="Enfasigrassetto"/>
                <w:b w:val="0"/>
                <w:bCs w:val="0"/>
              </w:rPr>
            </w:pPr>
            <w:r w:rsidRPr="00A14590">
              <w:rPr>
                <w:rStyle w:val="Enfasigrassetto"/>
              </w:rPr>
              <w:t>CSTO</w:t>
            </w:r>
            <w:r w:rsidRPr="00A14590">
              <w:t xml:space="preserve"> </w:t>
            </w:r>
          </w:p>
        </w:tc>
        <w:tc>
          <w:tcPr>
            <w:tcW w:w="4605" w:type="dxa"/>
          </w:tcPr>
          <w:p w14:paraId="66F5998F" w14:textId="6C9B3909" w:rsidR="003B27B4" w:rsidRPr="00A14590" w:rsidRDefault="003B27B4" w:rsidP="00A14590">
            <w:pPr>
              <w:ind w:firstLine="0"/>
              <w:jc w:val="center"/>
              <w:rPr>
                <w:rStyle w:val="Enfasigrassetto"/>
              </w:rPr>
            </w:pPr>
            <w:r w:rsidRPr="00A14590">
              <w:t>Collective Security Treaty Organization</w:t>
            </w:r>
          </w:p>
        </w:tc>
      </w:tr>
      <w:tr w:rsidR="003B27B4" w:rsidRPr="00A14590" w14:paraId="4915ED07" w14:textId="7710FA75" w:rsidTr="003B27B4">
        <w:trPr>
          <w:jc w:val="center"/>
        </w:trPr>
        <w:tc>
          <w:tcPr>
            <w:tcW w:w="5452" w:type="dxa"/>
          </w:tcPr>
          <w:p w14:paraId="40424320" w14:textId="1F058B53" w:rsidR="003B27B4" w:rsidRPr="00A14590" w:rsidRDefault="003B27B4" w:rsidP="00A14590">
            <w:pPr>
              <w:ind w:firstLine="0"/>
              <w:jc w:val="center"/>
              <w:rPr>
                <w:rStyle w:val="Enfasigrassetto"/>
              </w:rPr>
            </w:pPr>
            <w:r w:rsidRPr="00A14590">
              <w:rPr>
                <w:rStyle w:val="Enfasigrassetto"/>
              </w:rPr>
              <w:t>DW</w:t>
            </w:r>
            <w:r w:rsidRPr="00A14590">
              <w:t xml:space="preserve"> </w:t>
            </w:r>
          </w:p>
        </w:tc>
        <w:tc>
          <w:tcPr>
            <w:tcW w:w="4605" w:type="dxa"/>
          </w:tcPr>
          <w:p w14:paraId="61654FD7" w14:textId="32BEB1C4" w:rsidR="003B27B4" w:rsidRPr="00A14590" w:rsidRDefault="003B27B4" w:rsidP="00A14590">
            <w:pPr>
              <w:ind w:firstLine="0"/>
              <w:jc w:val="center"/>
              <w:rPr>
                <w:rStyle w:val="Enfasigrassetto"/>
              </w:rPr>
            </w:pPr>
            <w:r w:rsidRPr="00A14590">
              <w:t>Deutsche Welle</w:t>
            </w:r>
          </w:p>
        </w:tc>
      </w:tr>
      <w:tr w:rsidR="003B27B4" w:rsidRPr="00A14590" w14:paraId="669B6BD4" w14:textId="06B4D655" w:rsidTr="003B27B4">
        <w:trPr>
          <w:jc w:val="center"/>
        </w:trPr>
        <w:tc>
          <w:tcPr>
            <w:tcW w:w="5452" w:type="dxa"/>
          </w:tcPr>
          <w:p w14:paraId="69330D8B" w14:textId="61DECC80" w:rsidR="003B27B4" w:rsidRPr="00A14590" w:rsidRDefault="003B27B4" w:rsidP="00A14590">
            <w:pPr>
              <w:ind w:firstLine="0"/>
              <w:jc w:val="center"/>
              <w:rPr>
                <w:rStyle w:val="Enfasigrassetto"/>
              </w:rPr>
            </w:pPr>
            <w:r w:rsidRPr="00A14590">
              <w:rPr>
                <w:rStyle w:val="Enfasigrassetto"/>
              </w:rPr>
              <w:t>EAEU</w:t>
            </w:r>
            <w:r w:rsidRPr="00A14590">
              <w:t xml:space="preserve"> </w:t>
            </w:r>
          </w:p>
        </w:tc>
        <w:tc>
          <w:tcPr>
            <w:tcW w:w="4605" w:type="dxa"/>
          </w:tcPr>
          <w:p w14:paraId="628F2B95" w14:textId="3B583A25" w:rsidR="003B27B4" w:rsidRPr="00A14590" w:rsidRDefault="003B27B4" w:rsidP="00A14590">
            <w:pPr>
              <w:ind w:firstLine="0"/>
              <w:jc w:val="center"/>
              <w:rPr>
                <w:rStyle w:val="Enfasigrassetto"/>
              </w:rPr>
            </w:pPr>
            <w:r w:rsidRPr="00A14590">
              <w:t>Eurasian Economic Union</w:t>
            </w:r>
          </w:p>
        </w:tc>
      </w:tr>
      <w:tr w:rsidR="003B27B4" w:rsidRPr="00A14590" w14:paraId="40CDFED6" w14:textId="2987CF84" w:rsidTr="003B27B4">
        <w:trPr>
          <w:jc w:val="center"/>
        </w:trPr>
        <w:tc>
          <w:tcPr>
            <w:tcW w:w="5452" w:type="dxa"/>
          </w:tcPr>
          <w:p w14:paraId="73849827" w14:textId="76382FA3" w:rsidR="003B27B4" w:rsidRPr="00A14590" w:rsidRDefault="003B27B4" w:rsidP="00A14590">
            <w:pPr>
              <w:ind w:firstLine="0"/>
              <w:jc w:val="center"/>
              <w:rPr>
                <w:rStyle w:val="Enfasigrassetto"/>
              </w:rPr>
            </w:pPr>
            <w:r w:rsidRPr="00A14590">
              <w:rPr>
                <w:rStyle w:val="Enfasigrassetto"/>
              </w:rPr>
              <w:t>EDA</w:t>
            </w:r>
            <w:r w:rsidRPr="00A14590">
              <w:t xml:space="preserve"> </w:t>
            </w:r>
          </w:p>
        </w:tc>
        <w:tc>
          <w:tcPr>
            <w:tcW w:w="4605" w:type="dxa"/>
          </w:tcPr>
          <w:p w14:paraId="5A30D35E" w14:textId="64887972" w:rsidR="003B27B4" w:rsidRPr="00A14590" w:rsidRDefault="003B27B4" w:rsidP="00A14590">
            <w:pPr>
              <w:ind w:firstLine="0"/>
              <w:jc w:val="center"/>
              <w:rPr>
                <w:rStyle w:val="Enfasigrassetto"/>
              </w:rPr>
            </w:pPr>
            <w:r w:rsidRPr="00A14590">
              <w:t>Emotion Discourse Analysis</w:t>
            </w:r>
          </w:p>
        </w:tc>
      </w:tr>
      <w:tr w:rsidR="003B27B4" w:rsidRPr="00A14590" w14:paraId="1F3C9FEC" w14:textId="1E29A3E1" w:rsidTr="003B27B4">
        <w:trPr>
          <w:jc w:val="center"/>
        </w:trPr>
        <w:tc>
          <w:tcPr>
            <w:tcW w:w="5452" w:type="dxa"/>
          </w:tcPr>
          <w:p w14:paraId="39B63C85" w14:textId="2FEC1974" w:rsidR="003B27B4" w:rsidRPr="00A14590" w:rsidRDefault="003B27B4" w:rsidP="00A14590">
            <w:pPr>
              <w:ind w:firstLine="0"/>
              <w:jc w:val="center"/>
              <w:rPr>
                <w:rStyle w:val="Enfasigrassetto"/>
              </w:rPr>
            </w:pPr>
            <w:r w:rsidRPr="00A14590">
              <w:rPr>
                <w:rStyle w:val="Enfasigrassetto"/>
              </w:rPr>
              <w:t>EU</w:t>
            </w:r>
            <w:r w:rsidRPr="00A14590">
              <w:t xml:space="preserve"> </w:t>
            </w:r>
          </w:p>
        </w:tc>
        <w:tc>
          <w:tcPr>
            <w:tcW w:w="4605" w:type="dxa"/>
          </w:tcPr>
          <w:p w14:paraId="3E80A357" w14:textId="043267FC" w:rsidR="003B27B4" w:rsidRPr="00A14590" w:rsidRDefault="003B27B4" w:rsidP="00A14590">
            <w:pPr>
              <w:ind w:firstLine="0"/>
              <w:jc w:val="center"/>
              <w:rPr>
                <w:rStyle w:val="Enfasigrassetto"/>
              </w:rPr>
            </w:pPr>
            <w:r w:rsidRPr="00A14590">
              <w:t xml:space="preserve"> European Union</w:t>
            </w:r>
          </w:p>
        </w:tc>
      </w:tr>
      <w:tr w:rsidR="003B27B4" w:rsidRPr="00A14590" w14:paraId="08CD591E" w14:textId="680707B6" w:rsidTr="003B27B4">
        <w:trPr>
          <w:jc w:val="center"/>
        </w:trPr>
        <w:tc>
          <w:tcPr>
            <w:tcW w:w="5452" w:type="dxa"/>
          </w:tcPr>
          <w:p w14:paraId="73CFDFE5" w14:textId="016DDCC4" w:rsidR="003B27B4" w:rsidRPr="00A14590" w:rsidRDefault="003B27B4" w:rsidP="00A14590">
            <w:pPr>
              <w:ind w:firstLine="0"/>
              <w:jc w:val="center"/>
              <w:rPr>
                <w:rStyle w:val="Enfasigrassetto"/>
              </w:rPr>
            </w:pPr>
            <w:r w:rsidRPr="00A14590">
              <w:rPr>
                <w:rStyle w:val="Enfasigrassetto"/>
              </w:rPr>
              <w:t>IR</w:t>
            </w:r>
            <w:r w:rsidRPr="00A14590">
              <w:t xml:space="preserve"> </w:t>
            </w:r>
          </w:p>
        </w:tc>
        <w:tc>
          <w:tcPr>
            <w:tcW w:w="4605" w:type="dxa"/>
          </w:tcPr>
          <w:p w14:paraId="70BFB96A" w14:textId="6EBAFBE7" w:rsidR="003B27B4" w:rsidRPr="00A14590" w:rsidRDefault="003B27B4" w:rsidP="00A14590">
            <w:pPr>
              <w:ind w:firstLine="0"/>
              <w:jc w:val="center"/>
              <w:rPr>
                <w:rStyle w:val="Enfasigrassetto"/>
              </w:rPr>
            </w:pPr>
            <w:r w:rsidRPr="00A14590">
              <w:t>International Relations</w:t>
            </w:r>
          </w:p>
        </w:tc>
      </w:tr>
      <w:tr w:rsidR="003B27B4" w:rsidRPr="00A14590" w14:paraId="6A0F3007" w14:textId="063911B8" w:rsidTr="003B27B4">
        <w:trPr>
          <w:jc w:val="center"/>
        </w:trPr>
        <w:tc>
          <w:tcPr>
            <w:tcW w:w="5452" w:type="dxa"/>
          </w:tcPr>
          <w:p w14:paraId="48E0905E" w14:textId="4369E673" w:rsidR="003B27B4" w:rsidRPr="00A14590" w:rsidRDefault="003B27B4" w:rsidP="00A14590">
            <w:pPr>
              <w:ind w:firstLine="0"/>
              <w:jc w:val="center"/>
              <w:rPr>
                <w:rStyle w:val="Enfasigrassetto"/>
              </w:rPr>
            </w:pPr>
            <w:r w:rsidRPr="00A14590">
              <w:rPr>
                <w:rStyle w:val="Enfasigrassetto"/>
              </w:rPr>
              <w:t>IRI</w:t>
            </w:r>
            <w:r w:rsidRPr="00A14590">
              <w:t xml:space="preserve"> </w:t>
            </w:r>
          </w:p>
        </w:tc>
        <w:tc>
          <w:tcPr>
            <w:tcW w:w="4605" w:type="dxa"/>
          </w:tcPr>
          <w:p w14:paraId="56697D35" w14:textId="50BA90CF" w:rsidR="003B27B4" w:rsidRPr="00A14590" w:rsidRDefault="003B27B4" w:rsidP="00A14590">
            <w:pPr>
              <w:ind w:firstLine="0"/>
              <w:jc w:val="center"/>
              <w:rPr>
                <w:rStyle w:val="Enfasigrassetto"/>
              </w:rPr>
            </w:pPr>
            <w:r w:rsidRPr="00A14590">
              <w:t>International Republican Institute</w:t>
            </w:r>
          </w:p>
        </w:tc>
      </w:tr>
      <w:tr w:rsidR="003B27B4" w:rsidRPr="00A14590" w14:paraId="4C3878CF" w14:textId="27F55164" w:rsidTr="003B27B4">
        <w:trPr>
          <w:jc w:val="center"/>
        </w:trPr>
        <w:tc>
          <w:tcPr>
            <w:tcW w:w="5452" w:type="dxa"/>
          </w:tcPr>
          <w:p w14:paraId="63B25A20" w14:textId="15BF713F" w:rsidR="003B27B4" w:rsidRPr="00A14590" w:rsidRDefault="003B27B4" w:rsidP="00A14590">
            <w:pPr>
              <w:ind w:firstLine="0"/>
              <w:jc w:val="center"/>
            </w:pPr>
            <w:r w:rsidRPr="00A14590">
              <w:rPr>
                <w:rStyle w:val="Enfasigrassetto"/>
              </w:rPr>
              <w:t>NKAO</w:t>
            </w:r>
          </w:p>
        </w:tc>
        <w:tc>
          <w:tcPr>
            <w:tcW w:w="4605" w:type="dxa"/>
          </w:tcPr>
          <w:p w14:paraId="09403BD4" w14:textId="6C68448B" w:rsidR="003B27B4" w:rsidRPr="00A14590" w:rsidRDefault="003B27B4" w:rsidP="00A14590">
            <w:pPr>
              <w:ind w:firstLine="0"/>
              <w:jc w:val="center"/>
              <w:rPr>
                <w:rStyle w:val="Enfasigrassetto"/>
              </w:rPr>
            </w:pPr>
            <w:r w:rsidRPr="00A14590">
              <w:t>Nagorno-Karabakh Autonomous Oblast</w:t>
            </w:r>
          </w:p>
        </w:tc>
      </w:tr>
      <w:tr w:rsidR="00B843D9" w:rsidRPr="00A14590" w14:paraId="681AF09E" w14:textId="77777777" w:rsidTr="003B27B4">
        <w:trPr>
          <w:jc w:val="center"/>
        </w:trPr>
        <w:tc>
          <w:tcPr>
            <w:tcW w:w="5452" w:type="dxa"/>
          </w:tcPr>
          <w:p w14:paraId="2EE5ED8E" w14:textId="6CA33BF5" w:rsidR="00B843D9" w:rsidRPr="00A14590" w:rsidRDefault="00B843D9" w:rsidP="00A14590">
            <w:pPr>
              <w:ind w:firstLine="0"/>
              <w:jc w:val="center"/>
              <w:rPr>
                <w:rStyle w:val="Enfasigrassetto"/>
              </w:rPr>
            </w:pPr>
            <w:r>
              <w:rPr>
                <w:rStyle w:val="Enfasigrassetto"/>
              </w:rPr>
              <w:t>OSCE</w:t>
            </w:r>
          </w:p>
        </w:tc>
        <w:tc>
          <w:tcPr>
            <w:tcW w:w="4605" w:type="dxa"/>
          </w:tcPr>
          <w:p w14:paraId="45D71A5B" w14:textId="097D8774" w:rsidR="00B843D9" w:rsidRPr="00A14590" w:rsidRDefault="00B843D9" w:rsidP="00A14590">
            <w:pPr>
              <w:ind w:firstLine="0"/>
              <w:jc w:val="center"/>
            </w:pPr>
            <w:r w:rsidRPr="00B843D9">
              <w:t>Organization for Security and Co-operation in Europe</w:t>
            </w:r>
          </w:p>
        </w:tc>
      </w:tr>
      <w:tr w:rsidR="003B27B4" w:rsidRPr="00A14590" w14:paraId="0BD325A8" w14:textId="0043E6F9" w:rsidTr="003B27B4">
        <w:trPr>
          <w:jc w:val="center"/>
        </w:trPr>
        <w:tc>
          <w:tcPr>
            <w:tcW w:w="5452" w:type="dxa"/>
          </w:tcPr>
          <w:p w14:paraId="2D7F685B" w14:textId="4E10FC5B" w:rsidR="003B27B4" w:rsidRPr="00A14590" w:rsidRDefault="003B27B4" w:rsidP="00A14590">
            <w:pPr>
              <w:ind w:firstLine="0"/>
              <w:jc w:val="center"/>
              <w:rPr>
                <w:rStyle w:val="Enfasigrassetto"/>
                <w:b w:val="0"/>
              </w:rPr>
            </w:pPr>
            <w:r w:rsidRPr="00A14590">
              <w:rPr>
                <w:rStyle w:val="Enfasigrassetto"/>
              </w:rPr>
              <w:t xml:space="preserve">PS </w:t>
            </w:r>
          </w:p>
        </w:tc>
        <w:tc>
          <w:tcPr>
            <w:tcW w:w="4605" w:type="dxa"/>
          </w:tcPr>
          <w:p w14:paraId="48007F5A" w14:textId="7CAE07D8" w:rsidR="003B27B4" w:rsidRPr="00A14590" w:rsidRDefault="003B27B4" w:rsidP="00A14590">
            <w:pPr>
              <w:ind w:firstLine="0"/>
              <w:jc w:val="center"/>
              <w:rPr>
                <w:rStyle w:val="Enfasigrassetto"/>
              </w:rPr>
            </w:pPr>
            <w:r w:rsidRPr="00A14590">
              <w:rPr>
                <w:rStyle w:val="Enfasigrassetto"/>
                <w:b w:val="0"/>
              </w:rPr>
              <w:t>Political Science</w:t>
            </w:r>
          </w:p>
        </w:tc>
      </w:tr>
      <w:tr w:rsidR="003B27B4" w:rsidRPr="00A14590" w14:paraId="5D7AF70D" w14:textId="56226F92" w:rsidTr="003B27B4">
        <w:trPr>
          <w:jc w:val="center"/>
        </w:trPr>
        <w:tc>
          <w:tcPr>
            <w:tcW w:w="5452" w:type="dxa"/>
          </w:tcPr>
          <w:p w14:paraId="3E585328" w14:textId="08CA67D1" w:rsidR="003B27B4" w:rsidRPr="00A14590" w:rsidRDefault="003B27B4" w:rsidP="00A14590">
            <w:pPr>
              <w:ind w:firstLine="0"/>
              <w:jc w:val="center"/>
            </w:pPr>
            <w:r w:rsidRPr="00A14590">
              <w:rPr>
                <w:rStyle w:val="Enfasigrassetto"/>
              </w:rPr>
              <w:t>RFERL</w:t>
            </w:r>
            <w:r w:rsidRPr="00A14590">
              <w:t xml:space="preserve"> </w:t>
            </w:r>
          </w:p>
        </w:tc>
        <w:tc>
          <w:tcPr>
            <w:tcW w:w="4605" w:type="dxa"/>
          </w:tcPr>
          <w:p w14:paraId="021F0E08" w14:textId="57FD7AD1" w:rsidR="003B27B4" w:rsidRPr="00A14590" w:rsidRDefault="003B27B4" w:rsidP="00A14590">
            <w:pPr>
              <w:ind w:firstLine="0"/>
              <w:jc w:val="center"/>
              <w:rPr>
                <w:rStyle w:val="Enfasigrassetto"/>
              </w:rPr>
            </w:pPr>
            <w:r w:rsidRPr="00A14590">
              <w:t>Radio Free Europe / Radio Liberty</w:t>
            </w:r>
          </w:p>
        </w:tc>
      </w:tr>
      <w:tr w:rsidR="003B27B4" w:rsidRPr="00A14590" w14:paraId="1C49479A" w14:textId="7C6A0226" w:rsidTr="003B27B4">
        <w:trPr>
          <w:jc w:val="center"/>
        </w:trPr>
        <w:tc>
          <w:tcPr>
            <w:tcW w:w="5452" w:type="dxa"/>
          </w:tcPr>
          <w:p w14:paraId="51649F8A" w14:textId="5102330F" w:rsidR="003B27B4" w:rsidRPr="00A14590" w:rsidRDefault="003B27B4" w:rsidP="00A14590">
            <w:pPr>
              <w:ind w:firstLine="0"/>
              <w:jc w:val="center"/>
            </w:pPr>
            <w:r w:rsidRPr="00A14590">
              <w:rPr>
                <w:rStyle w:val="Enfasigrassetto"/>
              </w:rPr>
              <w:t>SSR</w:t>
            </w:r>
            <w:r w:rsidRPr="00A14590">
              <w:t xml:space="preserve"> </w:t>
            </w:r>
          </w:p>
        </w:tc>
        <w:tc>
          <w:tcPr>
            <w:tcW w:w="4605" w:type="dxa"/>
          </w:tcPr>
          <w:p w14:paraId="09E16352" w14:textId="5C6D9E48" w:rsidR="003B27B4" w:rsidRPr="00A14590" w:rsidRDefault="003B27B4" w:rsidP="00A14590">
            <w:pPr>
              <w:ind w:firstLine="0"/>
              <w:jc w:val="center"/>
              <w:rPr>
                <w:rStyle w:val="Enfasigrassetto"/>
              </w:rPr>
            </w:pPr>
            <w:r w:rsidRPr="00A14590">
              <w:t>Soviet Socialist Republic</w:t>
            </w:r>
          </w:p>
        </w:tc>
      </w:tr>
      <w:tr w:rsidR="003B27B4" w:rsidRPr="00A14590" w14:paraId="1220A24D" w14:textId="26AC0068" w:rsidTr="003B27B4">
        <w:trPr>
          <w:jc w:val="center"/>
        </w:trPr>
        <w:tc>
          <w:tcPr>
            <w:tcW w:w="5452" w:type="dxa"/>
          </w:tcPr>
          <w:p w14:paraId="424CA9F3" w14:textId="0596A1EE" w:rsidR="003B27B4" w:rsidRPr="00A14590" w:rsidRDefault="003B27B4" w:rsidP="00A14590">
            <w:pPr>
              <w:ind w:firstLine="0"/>
              <w:jc w:val="center"/>
            </w:pPr>
            <w:r w:rsidRPr="00A14590">
              <w:rPr>
                <w:rStyle w:val="Enfasigrassetto"/>
              </w:rPr>
              <w:t>TASS</w:t>
            </w:r>
            <w:r w:rsidRPr="00A14590">
              <w:t xml:space="preserve"> </w:t>
            </w:r>
          </w:p>
        </w:tc>
        <w:tc>
          <w:tcPr>
            <w:tcW w:w="4605" w:type="dxa"/>
          </w:tcPr>
          <w:p w14:paraId="2F98516D" w14:textId="7189B73A" w:rsidR="003B27B4" w:rsidRPr="00A14590" w:rsidRDefault="003B27B4" w:rsidP="00A14590">
            <w:pPr>
              <w:ind w:firstLine="0"/>
              <w:jc w:val="center"/>
              <w:rPr>
                <w:rStyle w:val="Enfasigrassetto"/>
              </w:rPr>
            </w:pPr>
            <w:r w:rsidRPr="00A14590">
              <w:t>Telegraph Agency of the Soviet Union (Russian state news agency)</w:t>
            </w:r>
          </w:p>
        </w:tc>
      </w:tr>
      <w:tr w:rsidR="003B27B4" w:rsidRPr="00A14590" w14:paraId="3EAED761" w14:textId="01788C8E" w:rsidTr="003B27B4">
        <w:trPr>
          <w:jc w:val="center"/>
        </w:trPr>
        <w:tc>
          <w:tcPr>
            <w:tcW w:w="5452" w:type="dxa"/>
          </w:tcPr>
          <w:p w14:paraId="08FF2158" w14:textId="7ECEDCCE" w:rsidR="003B27B4" w:rsidRPr="00A14590" w:rsidRDefault="003B27B4" w:rsidP="00A14590">
            <w:pPr>
              <w:ind w:firstLine="0"/>
              <w:jc w:val="center"/>
            </w:pPr>
            <w:r w:rsidRPr="00A14590">
              <w:rPr>
                <w:rStyle w:val="Enfasigrassetto"/>
              </w:rPr>
              <w:t>UAR/SAR</w:t>
            </w:r>
            <w:r w:rsidRPr="00A14590">
              <w:t xml:space="preserve">  </w:t>
            </w:r>
          </w:p>
        </w:tc>
        <w:tc>
          <w:tcPr>
            <w:tcW w:w="4605" w:type="dxa"/>
          </w:tcPr>
          <w:p w14:paraId="08B4E1C8" w14:textId="2137AD07" w:rsidR="003B27B4" w:rsidRPr="00A14590" w:rsidRDefault="003B27B4" w:rsidP="00A14590">
            <w:pPr>
              <w:ind w:firstLine="0"/>
              <w:jc w:val="center"/>
              <w:rPr>
                <w:rStyle w:val="Enfasigrassetto"/>
              </w:rPr>
            </w:pPr>
            <w:r w:rsidRPr="00A14590">
              <w:t>Union of Russian Armenians</w:t>
            </w:r>
          </w:p>
        </w:tc>
      </w:tr>
      <w:tr w:rsidR="003B27B4" w14:paraId="389CE39D" w14:textId="1E465FFF" w:rsidTr="003B27B4">
        <w:trPr>
          <w:jc w:val="center"/>
        </w:trPr>
        <w:tc>
          <w:tcPr>
            <w:tcW w:w="5452" w:type="dxa"/>
          </w:tcPr>
          <w:p w14:paraId="548976BC" w14:textId="6BD1FAA7" w:rsidR="003B27B4" w:rsidRDefault="003B27B4" w:rsidP="00A14590">
            <w:pPr>
              <w:ind w:firstLine="0"/>
              <w:jc w:val="center"/>
              <w:rPr>
                <w:rFonts w:ascii="Segoe UI" w:hAnsi="Segoe UI" w:cs="Segoe UI"/>
                <w:color w:val="242424"/>
                <w:sz w:val="42"/>
                <w:szCs w:val="42"/>
              </w:rPr>
            </w:pPr>
            <w:r w:rsidRPr="00A14590">
              <w:rPr>
                <w:rStyle w:val="Enfasigrassetto"/>
              </w:rPr>
              <w:t>US</w:t>
            </w:r>
            <w:r w:rsidRPr="00A14590">
              <w:t xml:space="preserve"> </w:t>
            </w:r>
          </w:p>
        </w:tc>
        <w:tc>
          <w:tcPr>
            <w:tcW w:w="4605" w:type="dxa"/>
          </w:tcPr>
          <w:p w14:paraId="0CDD6A4E" w14:textId="6D3CDC44" w:rsidR="003B27B4" w:rsidRPr="00A14590" w:rsidRDefault="003B27B4" w:rsidP="00A14590">
            <w:pPr>
              <w:ind w:firstLine="0"/>
              <w:jc w:val="center"/>
              <w:rPr>
                <w:rStyle w:val="Enfasigrassetto"/>
              </w:rPr>
            </w:pPr>
            <w:r w:rsidRPr="00A14590">
              <w:t>United States</w:t>
            </w:r>
          </w:p>
        </w:tc>
      </w:tr>
    </w:tbl>
    <w:p w14:paraId="234B1C3B" w14:textId="74E5FB5D" w:rsidR="00EF7E07" w:rsidRDefault="00EF7E07" w:rsidP="00EF7E07">
      <w:pPr>
        <w:jc w:val="center"/>
        <w:rPr>
          <w:rFonts w:ascii="Segoe UI" w:hAnsi="Segoe UI" w:cs="Segoe UI"/>
          <w:color w:val="242424"/>
          <w:sz w:val="42"/>
          <w:szCs w:val="42"/>
        </w:rPr>
      </w:pPr>
    </w:p>
    <w:p w14:paraId="7228BA5E" w14:textId="77777777" w:rsidR="00D04F91" w:rsidRPr="00B32F43" w:rsidRDefault="00D04F91" w:rsidP="00D04F91"/>
    <w:p w14:paraId="457EB5A9" w14:textId="77777777" w:rsidR="0087310A" w:rsidRPr="00B32F43" w:rsidRDefault="0087310A" w:rsidP="004F4D91">
      <w:pPr>
        <w:pStyle w:val="Corpotesto"/>
        <w:spacing w:before="176"/>
        <w:ind w:left="283" w:right="420"/>
        <w:jc w:val="left"/>
      </w:pPr>
    </w:p>
    <w:p w14:paraId="19E871EF" w14:textId="0AA2A05B" w:rsidR="0048056C" w:rsidRPr="00B32F43" w:rsidRDefault="0087310A" w:rsidP="004F4D91">
      <w:pPr>
        <w:spacing w:before="176"/>
        <w:ind w:left="283" w:right="420"/>
        <w:rPr>
          <w:spacing w:val="-4"/>
        </w:rPr>
      </w:pPr>
      <w:r w:rsidRPr="00B32F43">
        <w:rPr>
          <w:spacing w:val="-4"/>
        </w:rPr>
        <w:br w:type="page"/>
      </w:r>
    </w:p>
    <w:p w14:paraId="0567A96E" w14:textId="0827813B" w:rsidR="0048056C" w:rsidRPr="00B32F43" w:rsidRDefault="00FF4BA0" w:rsidP="00FF4BA0">
      <w:pPr>
        <w:pStyle w:val="Titolo1"/>
      </w:pPr>
      <w:bookmarkStart w:id="7" w:name="_Toc215742625"/>
      <w:r>
        <w:t xml:space="preserve">1. </w:t>
      </w:r>
      <w:r w:rsidR="0048056C" w:rsidRPr="00B32F43">
        <w:t>Introduction</w:t>
      </w:r>
      <w:bookmarkEnd w:id="7"/>
      <w:r w:rsidR="0048056C" w:rsidRPr="00B32F43">
        <w:t xml:space="preserve"> </w:t>
      </w:r>
    </w:p>
    <w:p w14:paraId="74DB9F00" w14:textId="0013D734" w:rsidR="0048056C" w:rsidRPr="00B32F43" w:rsidRDefault="12D8C18A" w:rsidP="004B3418">
      <w:pPr>
        <w:spacing w:before="176"/>
        <w:ind w:left="283" w:right="420" w:firstLine="437"/>
        <w:rPr>
          <w:szCs w:val="24"/>
        </w:rPr>
      </w:pPr>
      <w:r w:rsidRPr="00B32F43">
        <w:rPr>
          <w:szCs w:val="24"/>
        </w:rPr>
        <w:t>Nagorno-Karabakh is a mountainous enclave that, while located within Azerbaijan’s internationally recognized borders, was governed by its ethnic Armenian majority with support from Armenia from 1994 to September 2023</w:t>
      </w:r>
      <w:r w:rsidR="00391B8E">
        <w:rPr>
          <w:szCs w:val="24"/>
        </w:rPr>
        <w:t>.</w:t>
      </w:r>
      <w:r w:rsidR="008B7CBF">
        <w:rPr>
          <w:rStyle w:val="Rimandonotaapidipagina"/>
          <w:szCs w:val="24"/>
        </w:rPr>
        <w:footnoteReference w:id="1"/>
      </w:r>
      <w:r w:rsidRPr="00B32F43">
        <w:rPr>
          <w:szCs w:val="24"/>
        </w:rPr>
        <w:t xml:space="preserve"> That month, the Azerbaijani army launched a swift and decisive offensive that swept away their decades-long pursuit of independence in just 24 hours, triggering their mass exodus to neighboring Armenia and bringing to an end what had long been regarded as the longest-running conflict in post-Soviet Eurasia. On September 28, Samvel Shahramanyan, the elected president of the self-proclaimed Republic of Nagorno-Karabakh/Artsakh, signed a decree to dissolve this entity, effective January 1, 2024. </w:t>
      </w:r>
    </w:p>
    <w:p w14:paraId="286FAC20" w14:textId="7B3CF3F5" w:rsidR="0048056C" w:rsidRPr="00B32F43" w:rsidRDefault="12D8C18A" w:rsidP="004F4D91">
      <w:pPr>
        <w:spacing w:before="176"/>
        <w:ind w:left="283" w:right="420" w:firstLine="720"/>
        <w:rPr>
          <w:szCs w:val="24"/>
        </w:rPr>
      </w:pPr>
      <w:r w:rsidRPr="00B32F43">
        <w:rPr>
          <w:szCs w:val="24"/>
        </w:rPr>
        <w:t xml:space="preserve">In the wake of these events, observers have turned their attention to an actor </w:t>
      </w:r>
      <w:r w:rsidR="232EDF3F" w:rsidRPr="00B32F43">
        <w:rPr>
          <w:szCs w:val="24"/>
        </w:rPr>
        <w:t>who</w:t>
      </w:r>
      <w:r w:rsidRPr="00B32F43">
        <w:rPr>
          <w:szCs w:val="24"/>
        </w:rPr>
        <w:t xml:space="preserve"> has been involved in the dynamics surrounding this dispute since the 18th century and, in certain respects, played a decisive role in its resolution: the Russian Federation. In particular, many have wondered why Russian peacekeepers, who were tasked with protecting the local Armenian population under the terms of the ceasefire agreement that ended the Second Karabakh War in 2020, failed to prevent Azerbaijan's takeover of Nagorno-Karabakh.  </w:t>
      </w:r>
    </w:p>
    <w:p w14:paraId="5F2B1B78" w14:textId="18DC2676" w:rsidR="0048056C" w:rsidRPr="00B32F43" w:rsidRDefault="00FF4BA0" w:rsidP="00BB0177">
      <w:pPr>
        <w:pStyle w:val="Titolo2"/>
        <w:ind w:firstLine="283"/>
      </w:pPr>
      <w:bookmarkStart w:id="8" w:name="_Toc215742626"/>
      <w:r>
        <w:t xml:space="preserve">1.1. </w:t>
      </w:r>
      <w:r w:rsidR="00A241EB">
        <w:t>I</w:t>
      </w:r>
      <w:r w:rsidR="0048056C" w:rsidRPr="00B32F43">
        <w:t xml:space="preserve">ntroducing the </w:t>
      </w:r>
      <w:r w:rsidR="00A241EB">
        <w:t>R</w:t>
      </w:r>
      <w:r w:rsidR="0048056C" w:rsidRPr="00B32F43">
        <w:t xml:space="preserve">esearch </w:t>
      </w:r>
      <w:r w:rsidR="00A241EB">
        <w:t>P</w:t>
      </w:r>
      <w:r w:rsidR="0048056C" w:rsidRPr="00B32F43">
        <w:t>uzzle</w:t>
      </w:r>
      <w:bookmarkEnd w:id="8"/>
    </w:p>
    <w:p w14:paraId="13C9AE40" w14:textId="57C5244F" w:rsidR="0048056C" w:rsidRPr="00B32F43" w:rsidRDefault="12D8C18A" w:rsidP="004F4D91">
      <w:pPr>
        <w:pStyle w:val="Paragrafoelenco"/>
        <w:spacing w:before="176"/>
        <w:ind w:left="283" w:right="420" w:firstLine="360"/>
        <w:rPr>
          <w:szCs w:val="24"/>
        </w:rPr>
      </w:pPr>
      <w:r w:rsidRPr="00B32F43">
        <w:rPr>
          <w:szCs w:val="24"/>
        </w:rPr>
        <w:t xml:space="preserve">Throughout this conflict, Russia’s practices assumed complex, multifaceted, and at times ambiguous forms. Moscow, both unilaterally and as a member of the OSCE Minsk Group, played a central role as </w:t>
      </w:r>
      <w:r w:rsidR="15FD1B85" w:rsidRPr="00B32F43">
        <w:rPr>
          <w:szCs w:val="24"/>
        </w:rPr>
        <w:t>a mediator and peacemaker in the dispute between Baku and Yerevan, brokering ceasefire agreements in 1994, 2016, and 2020 while also serving as the primary arms supplier for</w:t>
      </w:r>
      <w:r w:rsidRPr="00B32F43">
        <w:rPr>
          <w:szCs w:val="24"/>
        </w:rPr>
        <w:t xml:space="preserve"> the Collective Security Treaty Organization (CSTO) and the Eurasian Economic Union </w:t>
      </w:r>
      <w:r w:rsidR="70652E77" w:rsidRPr="00B32F43">
        <w:rPr>
          <w:szCs w:val="24"/>
        </w:rPr>
        <w:t>(EAEU) and</w:t>
      </w:r>
      <w:r w:rsidRPr="00B32F43">
        <w:rPr>
          <w:szCs w:val="24"/>
        </w:rPr>
        <w:t xml:space="preserve"> concurrently </w:t>
      </w:r>
      <w:r w:rsidR="11A54E18" w:rsidRPr="00B32F43">
        <w:rPr>
          <w:szCs w:val="24"/>
        </w:rPr>
        <w:t>maintaining</w:t>
      </w:r>
      <w:r w:rsidRPr="00B32F43">
        <w:rPr>
          <w:szCs w:val="24"/>
        </w:rPr>
        <w:t xml:space="preserve"> a substantial military presence on Armenian soil</w:t>
      </w:r>
      <w:r w:rsidR="00391B8E">
        <w:rPr>
          <w:szCs w:val="24"/>
        </w:rPr>
        <w:t>.</w:t>
      </w:r>
      <w:r w:rsidR="00391B8E">
        <w:rPr>
          <w:rStyle w:val="Rimandonotaapidipagina"/>
          <w:szCs w:val="24"/>
        </w:rPr>
        <w:footnoteReference w:id="2"/>
      </w:r>
      <w:r w:rsidR="00391B8E">
        <w:rPr>
          <w:szCs w:val="24"/>
        </w:rPr>
        <w:t xml:space="preserve"> </w:t>
      </w:r>
      <w:r w:rsidR="00391B8E">
        <w:rPr>
          <w:rStyle w:val="Rimandonotaapidipagina"/>
          <w:szCs w:val="24"/>
        </w:rPr>
        <w:footnoteReference w:id="3"/>
      </w:r>
    </w:p>
    <w:p w14:paraId="3B2E970E" w14:textId="3F1794CA" w:rsidR="0048056C" w:rsidRPr="00B32F43" w:rsidRDefault="12D8C18A" w:rsidP="004F4D91">
      <w:pPr>
        <w:pStyle w:val="Paragrafoelenco"/>
        <w:spacing w:before="176"/>
        <w:ind w:left="283" w:right="420" w:firstLine="360"/>
        <w:rPr>
          <w:szCs w:val="24"/>
        </w:rPr>
      </w:pPr>
      <w:r w:rsidRPr="00B32F43">
        <w:rPr>
          <w:szCs w:val="24"/>
        </w:rPr>
        <w:t xml:space="preserve">At the same time, it has consistently supported Azerbaijan’s territorial integrity and enjoyed a strategic partnership with Baku based on economic, energy, and infrastructure cooperation (Eldem 2022; Broers 2023). This partnership was further reinforced in February 2022, just before Russia’s full-scale invasion of Ukraine, when the two countries signed a “Declaration on Allied </w:t>
      </w:r>
      <w:r w:rsidR="4118D8B8" w:rsidRPr="00B32F43">
        <w:rPr>
          <w:szCs w:val="24"/>
        </w:rPr>
        <w:t>Interaction,”</w:t>
      </w:r>
      <w:r w:rsidRPr="00B32F43">
        <w:rPr>
          <w:szCs w:val="24"/>
        </w:rPr>
        <w:t xml:space="preserve"> which established </w:t>
      </w:r>
      <w:r w:rsidR="39877F4E" w:rsidRPr="00B32F43">
        <w:rPr>
          <w:szCs w:val="24"/>
        </w:rPr>
        <w:t>a common agenda</w:t>
      </w:r>
      <w:r w:rsidRPr="00B32F43">
        <w:rPr>
          <w:szCs w:val="24"/>
        </w:rPr>
        <w:t xml:space="preserve"> in a wide range of areas, including humanitarian and economic relations as well as</w:t>
      </w:r>
      <w:r w:rsidR="58F6617F" w:rsidRPr="00B32F43">
        <w:rPr>
          <w:szCs w:val="24"/>
        </w:rPr>
        <w:t xml:space="preserve"> </w:t>
      </w:r>
      <w:r w:rsidRPr="00B32F43">
        <w:rPr>
          <w:szCs w:val="24"/>
        </w:rPr>
        <w:t>security issues (President of Azerbaijan 2022).</w:t>
      </w:r>
    </w:p>
    <w:p w14:paraId="0565CAB5" w14:textId="50C8915C" w:rsidR="0048056C" w:rsidRPr="00B32F43" w:rsidRDefault="5A49352B" w:rsidP="004F4D91">
      <w:pPr>
        <w:pStyle w:val="Paragrafoelenco"/>
        <w:spacing w:before="176"/>
        <w:ind w:left="283" w:right="420" w:firstLine="360"/>
        <w:rPr>
          <w:szCs w:val="24"/>
        </w:rPr>
      </w:pPr>
      <w:r w:rsidRPr="00B32F43">
        <w:rPr>
          <w:szCs w:val="24"/>
        </w:rPr>
        <w:t>For over thirty years, policy experts and academics have debated the Kremlin's handling of the Nagorno-Karabakh conflict.</w:t>
      </w:r>
      <w:r w:rsidR="12D8C18A" w:rsidRPr="00B32F43">
        <w:rPr>
          <w:szCs w:val="24"/>
        </w:rPr>
        <w:t xml:space="preserve"> Russian analysts have often contended that, despite sustained mediation efforts, Moscow lacked sufficient leverage over Armenia and Azerbaijan to initiate a truly effective peace process (Markedonov 2017; Suchkov 2018; Sushentsov &amp; Neklyudov 2020).  </w:t>
      </w:r>
      <w:r w:rsidR="38FD3976" w:rsidRPr="00B32F43">
        <w:rPr>
          <w:szCs w:val="24"/>
        </w:rPr>
        <w:t>In contrast, both Western observers and experts from the region, noting the ambiguity of these practices, have claimed that the Kremlin was never genuinely committed to resolving the conflict. Instead, it benefited fr</w:t>
      </w:r>
      <w:r w:rsidR="12D8C18A" w:rsidRPr="00B32F43">
        <w:rPr>
          <w:szCs w:val="24"/>
        </w:rPr>
        <w:t>om the prolonged “no war, no peace” status, retaining leverage over Baku and Yerevan while limiting the involvement of</w:t>
      </w:r>
      <w:r w:rsidR="50B16294" w:rsidRPr="00B32F43">
        <w:rPr>
          <w:szCs w:val="24"/>
        </w:rPr>
        <w:t xml:space="preserve"> </w:t>
      </w:r>
      <w:r w:rsidR="12D8C18A" w:rsidRPr="00B32F43">
        <w:rPr>
          <w:szCs w:val="24"/>
        </w:rPr>
        <w:t>external actors</w:t>
      </w:r>
      <w:r w:rsidR="12D84AE5" w:rsidRPr="00B32F43">
        <w:rPr>
          <w:szCs w:val="24"/>
        </w:rPr>
        <w:t xml:space="preserve">, </w:t>
      </w:r>
      <w:r w:rsidR="12D8C18A" w:rsidRPr="00B32F43">
        <w:rPr>
          <w:szCs w:val="24"/>
        </w:rPr>
        <w:t>such as Turkey, the European Union (EU), and the United States (USA)</w:t>
      </w:r>
      <w:r w:rsidR="4A7408D0" w:rsidRPr="00B32F43">
        <w:rPr>
          <w:szCs w:val="24"/>
        </w:rPr>
        <w:t>,</w:t>
      </w:r>
      <w:r w:rsidR="12D8C18A" w:rsidRPr="00B32F43">
        <w:rPr>
          <w:szCs w:val="24"/>
        </w:rPr>
        <w:t xml:space="preserve"> in a region it has long considered its exclusive sphere of influence (Allison &amp; Bluth 1998; Cornell 2001; Minasyan 2008; Romashov &amp; Rytövuori-Apunen 2017; De Waal 2019; Gafarli 2022; Çakmak &amp; Özşahin 2023).</w:t>
      </w:r>
    </w:p>
    <w:p w14:paraId="2D1E3455" w14:textId="77777777" w:rsidR="0048056C" w:rsidRPr="00B32F43" w:rsidRDefault="0048056C" w:rsidP="004F4D91">
      <w:pPr>
        <w:pStyle w:val="Paragrafoelenco"/>
        <w:spacing w:before="176"/>
        <w:ind w:left="283" w:right="420" w:firstLine="360"/>
        <w:rPr>
          <w:szCs w:val="24"/>
        </w:rPr>
      </w:pPr>
      <w:r w:rsidRPr="00B32F43">
        <w:rPr>
          <w:szCs w:val="24"/>
        </w:rPr>
        <w:t>A smaller group of analysts went even further, contending that Moscow, driven by neo-imperial aspirations, deliberately instigated the Nagorno-Karabakh conflict, as well as similar disputes in Transnistria, Abkhazia, and South Ossetia (Blank 2008; Allison 2009; Coyle 2018; Kazantsev et al. 2020; Sieniawski 2024). Nonetheless, the events of September 2023 have challenged these long-standing assumptions. With no Armenians remaining in Nagorno-Karabakh, the presence of Russian peacekeepers became effectively useless. Moscow was left with little choice but to withdraw its forces ahead of the timeline set by the 2020 ceasefire agreement, thereby ending its physical presence in this disputed territory (De Waal 2023).</w:t>
      </w:r>
    </w:p>
    <w:p w14:paraId="7F3D070E" w14:textId="06198FD5" w:rsidR="0048056C" w:rsidRPr="00B32F43" w:rsidRDefault="0C5E4036" w:rsidP="004F4D91">
      <w:pPr>
        <w:pStyle w:val="Paragrafoelenco"/>
        <w:spacing w:before="176"/>
        <w:ind w:left="283" w:right="420" w:firstLine="360"/>
        <w:rPr>
          <w:szCs w:val="24"/>
        </w:rPr>
      </w:pPr>
      <w:r w:rsidRPr="7B68E945">
        <w:rPr>
          <w:szCs w:val="24"/>
        </w:rPr>
        <w:t>Existing research on Russia's involvement in Nagorno-Karabakh has primarily focused on its strategic interests and security practices. However, there has been little attention paid to how the Kremlin constructed and preserved the meaning of its (dis)engagement in the conflict, which requires an interpretivist approach to the social sciences</w:t>
      </w:r>
      <w:r w:rsidR="12D8C18A" w:rsidRPr="7B68E945">
        <w:rPr>
          <w:szCs w:val="24"/>
        </w:rPr>
        <w:t>.</w:t>
      </w:r>
    </w:p>
    <w:p w14:paraId="7ACA6BA7" w14:textId="15A024E9" w:rsidR="0048056C" w:rsidRPr="00B32F43" w:rsidRDefault="6812F623" w:rsidP="004F4D91">
      <w:pPr>
        <w:pStyle w:val="Paragrafoelenco"/>
        <w:spacing w:before="176"/>
        <w:ind w:left="283" w:right="420" w:firstLine="360"/>
        <w:rPr>
          <w:szCs w:val="24"/>
        </w:rPr>
      </w:pPr>
      <w:r w:rsidRPr="7B68E945">
        <w:rPr>
          <w:szCs w:val="24"/>
        </w:rPr>
        <w:t xml:space="preserve">This neglect is particularly puzzling in light of the substantial body of literature on Russian foreign policy discourse, which has investigated the manner in which the Kremlin articulates and communicates its self-identity in international politics and in relation to neighboring states (Neumann 2008; Laruelle 2009; Clunan 2014; Tsygankov 2014; Morozov 2015; Hansen 2016; Reshetnikov 2017; Curanović 2021; Kanet </w:t>
      </w:r>
      <w:r w:rsidR="1B8BDCBB" w:rsidRPr="7B68E945">
        <w:rPr>
          <w:szCs w:val="24"/>
        </w:rPr>
        <w:t xml:space="preserve">&amp; </w:t>
      </w:r>
      <w:r w:rsidRPr="7B68E945">
        <w:rPr>
          <w:szCs w:val="24"/>
        </w:rPr>
        <w:t>Moulioukova 2022; Götz and Ekman 2024).</w:t>
      </w:r>
      <w:r w:rsidR="12D8C18A" w:rsidRPr="7B68E945">
        <w:rPr>
          <w:szCs w:val="24"/>
        </w:rPr>
        <w:t xml:space="preserve"> These studies have primarily examined developments in post-Soviet Eurasia, such as the “color revolutions” in Georgia and Ukraine (2003–2004), the Russo-Georgian war (2008), the annexation of Crimea (2014), and, more recently, the full-scale invasion of Ukraine (2022). Yet the Armenian–Azerbaijani dispute has remained largely absent from these debates. </w:t>
      </w:r>
    </w:p>
    <w:p w14:paraId="402BE5F9" w14:textId="180FEBDD" w:rsidR="79D9EDDA" w:rsidRPr="00B32F43" w:rsidRDefault="79D9EDDA" w:rsidP="004F4D91">
      <w:pPr>
        <w:pStyle w:val="Paragrafoelenco"/>
        <w:spacing w:before="176"/>
        <w:ind w:left="283" w:right="420" w:firstLine="360"/>
        <w:rPr>
          <w:szCs w:val="24"/>
        </w:rPr>
      </w:pPr>
      <w:r w:rsidRPr="00B32F43">
        <w:rPr>
          <w:szCs w:val="24"/>
        </w:rPr>
        <w:t>Nevertheless, there are two interrelated reasons why this body of literature should commence to explore Russia's involvement in the Nagorno-Karabakh conflict.</w:t>
      </w:r>
      <w:r w:rsidR="12D8C18A" w:rsidRPr="00B32F43">
        <w:rPr>
          <w:szCs w:val="24"/>
        </w:rPr>
        <w:t xml:space="preserve"> The first concerns the Caucasus and its centrality in Russian imperial history and collective memory (Gammer &amp; Kaplan 2014; Oskanian 2014; De Waal 2019). </w:t>
      </w:r>
      <w:r w:rsidR="091055FF" w:rsidRPr="00B32F43">
        <w:rPr>
          <w:szCs w:val="24"/>
        </w:rPr>
        <w:t xml:space="preserve">It took over two centuries for the Russian Tsars to establish control over this region. Russia’s expansion into the Caucasus began in the late sixteenth century, and control over its southern territories was largely secured by the early nineteenth century. </w:t>
      </w:r>
      <w:r w:rsidR="4B13BFF7" w:rsidRPr="00B32F43">
        <w:rPr>
          <w:szCs w:val="24"/>
        </w:rPr>
        <w:t>Furthermore, over thirty years of continuous military campaigns against the North Caucasian mountaineers were necessary to consolidate authority over the entire region (Henze 1996, 389).</w:t>
      </w:r>
    </w:p>
    <w:p w14:paraId="4D679B65" w14:textId="02A93DD1" w:rsidR="0048056C" w:rsidRPr="00B32F43" w:rsidRDefault="5EB7F172" w:rsidP="004F4D91">
      <w:pPr>
        <w:pStyle w:val="Paragrafoelenco"/>
        <w:spacing w:before="176"/>
        <w:ind w:left="283" w:right="420" w:firstLine="360"/>
        <w:rPr>
          <w:szCs w:val="24"/>
        </w:rPr>
      </w:pPr>
      <w:r w:rsidRPr="7B68E945">
        <w:rPr>
          <w:szCs w:val="24"/>
        </w:rPr>
        <w:t>Meanwhile, nineteenth-century writers, poets, ethnographers, military figures, and chroniclers contributed to the Caucasus's prominence in Russian popular consciousness (Gammer &amp; Kaplan 2014).</w:t>
      </w:r>
      <w:r w:rsidR="12D8C18A" w:rsidRPr="7B68E945">
        <w:rPr>
          <w:szCs w:val="24"/>
        </w:rPr>
        <w:t xml:space="preserve"> In fact, these accounts contributed to the emergence of an image of Russia as a civilization bridging Europe and Asia while reinforcing a sense of exceptionalism that has persisted </w:t>
      </w:r>
      <w:r w:rsidR="51F01AAE" w:rsidRPr="7B68E945">
        <w:rPr>
          <w:szCs w:val="24"/>
        </w:rPr>
        <w:t>through the</w:t>
      </w:r>
      <w:r w:rsidR="12D8C18A" w:rsidRPr="7B68E945">
        <w:rPr>
          <w:szCs w:val="24"/>
        </w:rPr>
        <w:t xml:space="preserve"> Tsarist, Soviet, and post-Soviet periods (Layton 1995; Gammer </w:t>
      </w:r>
      <w:r w:rsidR="2340A54F" w:rsidRPr="7B68E945">
        <w:rPr>
          <w:szCs w:val="24"/>
        </w:rPr>
        <w:t xml:space="preserve">&amp; </w:t>
      </w:r>
      <w:r w:rsidR="12D8C18A" w:rsidRPr="7B68E945">
        <w:rPr>
          <w:szCs w:val="24"/>
        </w:rPr>
        <w:t xml:space="preserve">Kaplan 2014; Morozov 2015; Oskanian 2018; Curanović 2021). </w:t>
      </w:r>
      <w:r w:rsidR="5E19C752" w:rsidRPr="7B68E945">
        <w:rPr>
          <w:szCs w:val="24"/>
        </w:rPr>
        <w:t>Therefore, when evaluating Russia's policies in the region, we must acknowledge that Moscow's involvement encompasses factors beyond geopolitical positioning or strategic interests.</w:t>
      </w:r>
    </w:p>
    <w:p w14:paraId="1AC14850" w14:textId="726D8B10" w:rsidR="0048056C" w:rsidRPr="00B32F43" w:rsidRDefault="12D8C18A" w:rsidP="004F4D91">
      <w:pPr>
        <w:pStyle w:val="Paragrafoelenco"/>
        <w:spacing w:before="176"/>
        <w:ind w:left="283" w:right="420" w:firstLine="360"/>
        <w:rPr>
          <w:szCs w:val="24"/>
        </w:rPr>
      </w:pPr>
      <w:r w:rsidRPr="00B32F43">
        <w:rPr>
          <w:szCs w:val="24"/>
        </w:rPr>
        <w:t xml:space="preserve">The second factor </w:t>
      </w:r>
      <w:r w:rsidR="6B66C044" w:rsidRPr="00B32F43">
        <w:rPr>
          <w:szCs w:val="24"/>
        </w:rPr>
        <w:t>pertains to</w:t>
      </w:r>
      <w:r w:rsidRPr="00B32F43">
        <w:rPr>
          <w:szCs w:val="24"/>
        </w:rPr>
        <w:t xml:space="preserve"> Armenia. A significant yet often overlooked dynamic revealed by the events of September 2023 was the undermining of the long-held belief that the Kremlin would act to protect Armenians (Hess 2022; Atasuntsev 2023; Zolyan 2023; Shahverdyan 2024). Officially, Russia and Armenia maintain "close allied relations marked by frequent bilateral visits at the high and highest levels" (Ministry of Foreign Affairs of the Republic of Armenia 2023). However, since the conclusion of the 2020 war, relations between the two countries have steadily deteriorated, with Moscow’s inaction during Baku’s military operation representing a critical moment of disillusionment within Armenian society (International Republican Institute 2024).</w:t>
      </w:r>
    </w:p>
    <w:p w14:paraId="03FFD7A5" w14:textId="77777777" w:rsidR="0048056C" w:rsidRPr="00B32F43" w:rsidRDefault="0048056C" w:rsidP="004F4D91">
      <w:pPr>
        <w:pStyle w:val="Paragrafoelenco"/>
        <w:spacing w:before="176"/>
        <w:ind w:left="283" w:right="420" w:firstLine="360"/>
        <w:rPr>
          <w:szCs w:val="24"/>
        </w:rPr>
      </w:pPr>
      <w:r w:rsidRPr="00B32F43">
        <w:rPr>
          <w:szCs w:val="24"/>
        </w:rPr>
        <w:t>While scholars have long recognized that Armenia’s economic, energy, and security vulnerabilities have shaped its generally favorable orientation toward Russia since the collapse of the Soviet Union (De Waal 2003; Minasyan 2013; De Waal 2019; Iskandaryan 2019; Broers 2021; Çakmak &amp; Özşahin 2023), its relationship with Moscow is also firmly grounded in identity and historical memory, most notably in the enduring image of Russia as a protector.</w:t>
      </w:r>
    </w:p>
    <w:p w14:paraId="0900795C" w14:textId="7E570919" w:rsidR="0048056C" w:rsidRPr="00B32F43" w:rsidRDefault="12D8C18A" w:rsidP="004F4D91">
      <w:pPr>
        <w:pStyle w:val="Paragrafoelenco"/>
        <w:spacing w:before="176"/>
        <w:ind w:left="283" w:right="420" w:firstLine="360"/>
        <w:rPr>
          <w:szCs w:val="24"/>
        </w:rPr>
      </w:pPr>
      <w:r w:rsidRPr="00B32F43">
        <w:rPr>
          <w:szCs w:val="24"/>
        </w:rPr>
        <w:t xml:space="preserve">The latter emerged between the 18th and the early 20th centuries. During that period, the Russian Empire not only conquered the South </w:t>
      </w:r>
      <w:r w:rsidR="26B33E50" w:rsidRPr="00B32F43">
        <w:rPr>
          <w:szCs w:val="24"/>
        </w:rPr>
        <w:t>Caucasus but</w:t>
      </w:r>
      <w:r w:rsidRPr="00B32F43">
        <w:rPr>
          <w:szCs w:val="24"/>
        </w:rPr>
        <w:t xml:space="preserve"> also liberated part of the Armenian population from Persian and Ottoman control and brought them under the influence of a European and Christian power (Hovannisian 1971, 31). Furthermore, as Russia became increasingly entangled in the geopolitical implications surrounding the future and territorial integrity of the declining Ottoman Empire, Tsarist authorities frequently positioned themselves as the protectors of the Sublime Porte’s Christian subjects (Badalyan</w:t>
      </w:r>
      <w:r w:rsidR="5C1EA4E6" w:rsidRPr="00B32F43">
        <w:rPr>
          <w:szCs w:val="24"/>
        </w:rPr>
        <w:t xml:space="preserve"> </w:t>
      </w:r>
      <w:r w:rsidRPr="00B32F43">
        <w:rPr>
          <w:szCs w:val="24"/>
        </w:rPr>
        <w:t xml:space="preserve">Riegg 2020). Consequently, the Empire not only regarded the Christian Armenians as allies on the southern </w:t>
      </w:r>
      <w:r w:rsidR="64B48E6D" w:rsidRPr="00B32F43">
        <w:rPr>
          <w:szCs w:val="24"/>
        </w:rPr>
        <w:t>frontier but</w:t>
      </w:r>
      <w:r w:rsidRPr="00B32F43">
        <w:rPr>
          <w:szCs w:val="24"/>
        </w:rPr>
        <w:t xml:space="preserve"> also as defenseless victims they had a religious duty to protect from Muslim oppressors (Blauvelt</w:t>
      </w:r>
      <w:r w:rsidR="69EBF90B" w:rsidRPr="00B32F43">
        <w:rPr>
          <w:szCs w:val="24"/>
        </w:rPr>
        <w:t xml:space="preserve"> &amp;</w:t>
      </w:r>
      <w:r w:rsidRPr="00B32F43">
        <w:rPr>
          <w:szCs w:val="24"/>
        </w:rPr>
        <w:t xml:space="preserve"> Berglund 2016, 70).</w:t>
      </w:r>
    </w:p>
    <w:p w14:paraId="723C7C89" w14:textId="524642AD" w:rsidR="0048056C" w:rsidRPr="00B32F43" w:rsidRDefault="37A36D9A" w:rsidP="004F4D91">
      <w:pPr>
        <w:pStyle w:val="Paragrafoelenco"/>
        <w:spacing w:before="176"/>
        <w:ind w:left="283" w:right="420" w:firstLine="360"/>
        <w:rPr>
          <w:szCs w:val="24"/>
        </w:rPr>
      </w:pPr>
      <w:r w:rsidRPr="00B32F43">
        <w:rPr>
          <w:szCs w:val="24"/>
        </w:rPr>
        <w:t>Historians have long acknowledged the crucial role of this distant memory in shaping contemporary Armenian political identity (Suny 1993; Shnirelman 2001; Libaridian 2007; Payaslian 2007; Badalyan Riegg 2020). However, International Relations (IR) scholars have rarely examined how the same historical image has shaped Russia’s self-identity (Oskanian 2014; Abushov 2019). T</w:t>
      </w:r>
      <w:r w:rsidR="12D8C18A" w:rsidRPr="00B32F43">
        <w:rPr>
          <w:szCs w:val="24"/>
        </w:rPr>
        <w:t xml:space="preserve">his gap </w:t>
      </w:r>
      <w:r w:rsidR="31949CB6" w:rsidRPr="00B32F43">
        <w:rPr>
          <w:szCs w:val="24"/>
        </w:rPr>
        <w:t>embodies</w:t>
      </w:r>
      <w:r w:rsidR="12D8C18A" w:rsidRPr="00B32F43">
        <w:rPr>
          <w:szCs w:val="24"/>
        </w:rPr>
        <w:t xml:space="preserve"> the starting point of my dissertation, which seeks to demonstrate how Russia’s interpretations of that distant past informed its (dis)engagement in the Nagorno-Karabakh conflict. </w:t>
      </w:r>
    </w:p>
    <w:p w14:paraId="158283DD" w14:textId="752BCB86" w:rsidR="0048056C" w:rsidRPr="00B32F43" w:rsidRDefault="00BB0177" w:rsidP="00BB0177">
      <w:pPr>
        <w:pStyle w:val="Titolo2"/>
        <w:ind w:firstLine="283"/>
      </w:pPr>
      <w:bookmarkStart w:id="9" w:name="_Toc215742627"/>
      <w:r>
        <w:t>1.2.</w:t>
      </w:r>
      <w:r w:rsidR="00257C0D">
        <w:t xml:space="preserve"> </w:t>
      </w:r>
      <w:r w:rsidR="0048056C" w:rsidRPr="00B32F43">
        <w:t xml:space="preserve">The </w:t>
      </w:r>
      <w:r w:rsidR="00A241EB">
        <w:t>A</w:t>
      </w:r>
      <w:r w:rsidR="0048056C" w:rsidRPr="00B32F43">
        <w:t xml:space="preserve">pproach of the </w:t>
      </w:r>
      <w:r w:rsidR="00A241EB">
        <w:t>D</w:t>
      </w:r>
      <w:r w:rsidR="0048056C" w:rsidRPr="00B32F43">
        <w:t>issertation</w:t>
      </w:r>
      <w:bookmarkEnd w:id="9"/>
    </w:p>
    <w:p w14:paraId="4B0984EF" w14:textId="4A2A4557" w:rsidR="0048056C" w:rsidRPr="00B32F43" w:rsidRDefault="12D8C18A" w:rsidP="004F4D91">
      <w:pPr>
        <w:spacing w:before="176"/>
        <w:ind w:left="283" w:right="420" w:firstLine="360"/>
        <w:rPr>
          <w:szCs w:val="24"/>
        </w:rPr>
      </w:pPr>
      <w:r w:rsidRPr="39E0B0F2">
        <w:rPr>
          <w:szCs w:val="24"/>
        </w:rPr>
        <w:t xml:space="preserve">The main premise of this dissertation is that Russia’s </w:t>
      </w:r>
      <w:r w:rsidR="6A5DF772" w:rsidRPr="39E0B0F2">
        <w:rPr>
          <w:szCs w:val="24"/>
        </w:rPr>
        <w:t>physical and discursive practices have been</w:t>
      </w:r>
      <w:r w:rsidR="35C7AC97" w:rsidRPr="39E0B0F2">
        <w:rPr>
          <w:szCs w:val="24"/>
        </w:rPr>
        <w:t xml:space="preserve"> symptomatic of </w:t>
      </w:r>
      <w:r w:rsidRPr="39E0B0F2">
        <w:rPr>
          <w:szCs w:val="24"/>
        </w:rPr>
        <w:t xml:space="preserve">a quest for ontological security that has been ongoing since the collapse of the Soviet Union. Ontological security refers to the “security not of the body but of the self, the subjective sense of who one is, which enables and motivates action and choice” (Mitzen 2006, 344). It is a sense of coherence that social actors seek to preserve through biographical narratives and/or routinized relations with “significant </w:t>
      </w:r>
      <w:r w:rsidR="05F7DB0D" w:rsidRPr="39E0B0F2">
        <w:rPr>
          <w:szCs w:val="24"/>
        </w:rPr>
        <w:t>Other</w:t>
      </w:r>
      <w:r w:rsidRPr="39E0B0F2">
        <w:rPr>
          <w:szCs w:val="24"/>
        </w:rPr>
        <w:t>s” (Giddens 198</w:t>
      </w:r>
      <w:r w:rsidR="265D3FA6" w:rsidRPr="39E0B0F2">
        <w:rPr>
          <w:szCs w:val="24"/>
        </w:rPr>
        <w:t>4</w:t>
      </w:r>
      <w:r w:rsidRPr="39E0B0F2">
        <w:rPr>
          <w:szCs w:val="24"/>
        </w:rPr>
        <w:t xml:space="preserve">; Kinnvall 2004; Mitzen 2006; Steele 2008; Gustafsson &amp; Krickel-Choi 2020). When such coherence is disrupted, “critical situations” </w:t>
      </w:r>
      <w:r w:rsidR="7E9E756E" w:rsidRPr="39E0B0F2">
        <w:rPr>
          <w:szCs w:val="24"/>
        </w:rPr>
        <w:t>arise,</w:t>
      </w:r>
      <w:r w:rsidRPr="39E0B0F2">
        <w:rPr>
          <w:szCs w:val="24"/>
        </w:rPr>
        <w:t xml:space="preserve"> and existential anxiety may drive actors to restore continuity by reproducing familiar, even conflictual, practices, often at significant material cost (Rumelili 2015; Subotić 2016; Ejdus 2017; Figari Barberis &amp; Zanatta 2023).</w:t>
      </w:r>
    </w:p>
    <w:p w14:paraId="473DA1E3" w14:textId="77777777" w:rsidR="0048056C" w:rsidRPr="00B32F43" w:rsidRDefault="0048056C" w:rsidP="004F4D91">
      <w:pPr>
        <w:spacing w:before="176"/>
        <w:ind w:left="283" w:right="420" w:firstLine="360"/>
        <w:rPr>
          <w:szCs w:val="24"/>
        </w:rPr>
      </w:pPr>
      <w:r w:rsidRPr="00B32F43">
        <w:rPr>
          <w:szCs w:val="24"/>
        </w:rPr>
        <w:t>The collapse of the Soviet Union represents what can be understood as a critical situation. This event not only produced political, economic, and institutional upheavals across the post-Soviet space but also plunged the newly born republics into a state of existential turmoil (Mankoff 2009; Sakwa 2020; Curanović 2021). For post-Soviet Russian leadership, confronting dilemmas of self-identity became as urgent as steering the transition from a planned to a market economy, defining the contours of a new political system, and tackling the corruption and organized crime that thrived in the power vacuum of those years (Hopf 2005).</w:t>
      </w:r>
    </w:p>
    <w:p w14:paraId="22784BDF" w14:textId="77777777" w:rsidR="0048056C" w:rsidRPr="00B32F43" w:rsidRDefault="0048056C" w:rsidP="004F4D91">
      <w:pPr>
        <w:spacing w:before="176"/>
        <w:ind w:left="283" w:right="420" w:firstLine="360"/>
        <w:rPr>
          <w:szCs w:val="24"/>
        </w:rPr>
      </w:pPr>
      <w:r w:rsidRPr="00B32F43">
        <w:rPr>
          <w:szCs w:val="24"/>
        </w:rPr>
        <w:t>Because ontological security largely depends on the coherence of biographical narratives, this notion is closely connected to the politics of memory, which concerns “who wants whom to remember what, and why” (Confino 1997, 1393). Memory plays a central role in shaping the self-identity of social actors, serving as a temporal anchor that helps make the past meaningful by providing a sense of “where ‘we’ have come from and what ‘we’ have been through” (Berenskoetter 2014, 270). Consequently, as Maria Mälksoo (2015, 221) notes, “memory must be defended.”</w:t>
      </w:r>
    </w:p>
    <w:p w14:paraId="115FC973" w14:textId="092670BD" w:rsidR="12D8C18A" w:rsidRPr="00B32F43" w:rsidRDefault="12D8C18A" w:rsidP="004F4D91">
      <w:pPr>
        <w:spacing w:before="176"/>
        <w:ind w:left="283" w:right="420" w:firstLine="360"/>
        <w:rPr>
          <w:szCs w:val="24"/>
        </w:rPr>
      </w:pPr>
      <w:r w:rsidRPr="00B32F43">
        <w:rPr>
          <w:szCs w:val="24"/>
        </w:rPr>
        <w:t>The main argument of this dissertation is that, in the context of the Nagorno-Karabakh conflict, Russia’s quest for ontological security was shaped by mnemonic reflections of its Tsarist past</w:t>
      </w:r>
      <w:r w:rsidR="27239830" w:rsidRPr="00B32F43">
        <w:rPr>
          <w:szCs w:val="24"/>
        </w:rPr>
        <w:t xml:space="preserve"> in the Caucasus</w:t>
      </w:r>
      <w:r w:rsidRPr="00B32F43">
        <w:rPr>
          <w:szCs w:val="24"/>
        </w:rPr>
        <w:t xml:space="preserve"> and manifested in a politics of deference toward Armenia. </w:t>
      </w:r>
      <w:r w:rsidR="17CE7C80" w:rsidRPr="00B32F43">
        <w:rPr>
          <w:szCs w:val="24"/>
        </w:rPr>
        <w:t>In doing so, Russia aimed to maintain its self-image as a hero-protector and Armenia's as a defenseless victim, all the while securing recognition of this narrative framework from the Armenian side.</w:t>
      </w:r>
    </w:p>
    <w:p w14:paraId="2A459DA4" w14:textId="363C1ECE" w:rsidR="0048056C" w:rsidRPr="00B32F43" w:rsidRDefault="7DDB8D69" w:rsidP="004F4D91">
      <w:pPr>
        <w:spacing w:before="176"/>
        <w:ind w:left="283" w:right="420" w:firstLine="360"/>
        <w:rPr>
          <w:szCs w:val="24"/>
        </w:rPr>
      </w:pPr>
      <w:r w:rsidRPr="39E0B0F2">
        <w:rPr>
          <w:szCs w:val="24"/>
        </w:rPr>
        <w:t>T</w:t>
      </w:r>
      <w:r w:rsidR="12D8C18A" w:rsidRPr="39E0B0F2">
        <w:rPr>
          <w:szCs w:val="24"/>
        </w:rPr>
        <w:t xml:space="preserve">his dynamic mirrors the Hegelian </w:t>
      </w:r>
      <w:r w:rsidR="64A10781" w:rsidRPr="39E0B0F2">
        <w:rPr>
          <w:szCs w:val="24"/>
        </w:rPr>
        <w:t>master-slave</w:t>
      </w:r>
      <w:r w:rsidR="12D8C18A" w:rsidRPr="39E0B0F2">
        <w:rPr>
          <w:szCs w:val="24"/>
        </w:rPr>
        <w:t xml:space="preserve"> dialectic, in which the master’s identity depends on recognition from the servant, even as the servant shapes the master (Hegel et al. 2013). </w:t>
      </w:r>
      <w:r w:rsidR="71E5D74C" w:rsidRPr="39E0B0F2">
        <w:rPr>
          <w:szCs w:val="24"/>
        </w:rPr>
        <w:t xml:space="preserve">In a similar vein, Russia's self-perception as a protector was contingent upon the recognition of a protected </w:t>
      </w:r>
      <w:r w:rsidR="1F7A6B2E" w:rsidRPr="39E0B0F2">
        <w:rPr>
          <w:szCs w:val="24"/>
        </w:rPr>
        <w:t>Other</w:t>
      </w:r>
      <w:r w:rsidR="71E5D74C" w:rsidRPr="39E0B0F2">
        <w:rPr>
          <w:szCs w:val="24"/>
        </w:rPr>
        <w:t xml:space="preserve">, specifically Armenia, which allowed it to affirm its moral authority. </w:t>
      </w:r>
      <w:r w:rsidR="781D22BC" w:rsidRPr="39E0B0F2">
        <w:rPr>
          <w:szCs w:val="24"/>
        </w:rPr>
        <w:t>In the absence of recognition, Russia maintained its protective role by modifying the narrative plot and roles within it, emphasizing less explicit or temporary secondary roles to reduce exposure to misrecognition.</w:t>
      </w:r>
      <w:r w:rsidR="12D8C18A" w:rsidRPr="39E0B0F2">
        <w:rPr>
          <w:szCs w:val="24"/>
        </w:rPr>
        <w:t xml:space="preserve"> </w:t>
      </w:r>
      <w:r w:rsidR="6CA6978B" w:rsidRPr="39E0B0F2">
        <w:rPr>
          <w:szCs w:val="24"/>
        </w:rPr>
        <w:t>These discursive practices</w:t>
      </w:r>
      <w:r w:rsidR="12D8C18A" w:rsidRPr="39E0B0F2">
        <w:rPr>
          <w:szCs w:val="24"/>
        </w:rPr>
        <w:t xml:space="preserve"> prevented ontological anxiety and preserved the coherence of the Russian Se</w:t>
      </w:r>
      <w:r w:rsidR="251B2CCA" w:rsidRPr="39E0B0F2">
        <w:rPr>
          <w:szCs w:val="24"/>
        </w:rPr>
        <w:t>lf.</w:t>
      </w:r>
      <w:r w:rsidR="12D8C18A" w:rsidRPr="39E0B0F2">
        <w:rPr>
          <w:szCs w:val="24"/>
        </w:rPr>
        <w:t xml:space="preserve"> </w:t>
      </w:r>
    </w:p>
    <w:p w14:paraId="4BBD6A6E" w14:textId="39DFD9E2" w:rsidR="0048056C" w:rsidRPr="00B32F43" w:rsidRDefault="00BB0177" w:rsidP="00BB0177">
      <w:pPr>
        <w:pStyle w:val="Titolo2"/>
        <w:ind w:firstLine="283"/>
      </w:pPr>
      <w:bookmarkStart w:id="10" w:name="_Toc215742628"/>
      <w:r>
        <w:t xml:space="preserve">1.3. </w:t>
      </w:r>
      <w:r w:rsidR="0048056C" w:rsidRPr="00B32F43">
        <w:t xml:space="preserve">Methodology and </w:t>
      </w:r>
      <w:r w:rsidR="00A241EB">
        <w:t>O</w:t>
      </w:r>
      <w:r w:rsidR="0048056C" w:rsidRPr="00B32F43">
        <w:t xml:space="preserve">perationalization of the </w:t>
      </w:r>
      <w:r w:rsidR="00A241EB">
        <w:t>R</w:t>
      </w:r>
      <w:r w:rsidR="0048056C" w:rsidRPr="00B32F43">
        <w:t xml:space="preserve">esearch </w:t>
      </w:r>
      <w:r w:rsidR="00A241EB">
        <w:t>Q</w:t>
      </w:r>
      <w:r w:rsidR="0048056C" w:rsidRPr="00B32F43">
        <w:t>uestion</w:t>
      </w:r>
      <w:bookmarkEnd w:id="10"/>
    </w:p>
    <w:p w14:paraId="3CA8CD3C" w14:textId="1FC3A45E" w:rsidR="0048056C" w:rsidRPr="00B32F43" w:rsidRDefault="12D8C18A" w:rsidP="004F4D91">
      <w:pPr>
        <w:pStyle w:val="Paragrafoelenco"/>
        <w:spacing w:before="176"/>
        <w:ind w:left="283" w:right="420" w:firstLine="360"/>
        <w:rPr>
          <w:szCs w:val="24"/>
        </w:rPr>
      </w:pPr>
      <w:r w:rsidRPr="00B32F43">
        <w:rPr>
          <w:szCs w:val="24"/>
        </w:rPr>
        <w:t xml:space="preserve">Having placed meaning-making at the center of my analysis of the Kremlin’s policies toward the Nagorno-Karabakh conflict, I now turn to the methodological and analytical framework guiding this dissertation. </w:t>
      </w:r>
      <w:r w:rsidR="48A48CCE" w:rsidRPr="00B32F43">
        <w:rPr>
          <w:szCs w:val="24"/>
        </w:rPr>
        <w:t>Before doing so, the research question that guides the entire project must be restated:</w:t>
      </w:r>
      <w:r w:rsidRPr="00B32F43">
        <w:rPr>
          <w:szCs w:val="24"/>
        </w:rPr>
        <w:t xml:space="preserve"> </w:t>
      </w:r>
    </w:p>
    <w:p w14:paraId="32D65761" w14:textId="77777777" w:rsidR="0048056C" w:rsidRPr="00B32F43" w:rsidRDefault="0048056C" w:rsidP="004F4D91">
      <w:pPr>
        <w:pStyle w:val="Paragrafoelenco"/>
        <w:spacing w:before="176"/>
        <w:ind w:left="283" w:right="420" w:firstLine="360"/>
        <w:rPr>
          <w:i/>
          <w:iCs/>
          <w:szCs w:val="24"/>
        </w:rPr>
      </w:pPr>
      <w:r w:rsidRPr="00B32F43">
        <w:rPr>
          <w:i/>
          <w:iCs/>
          <w:szCs w:val="24"/>
        </w:rPr>
        <w:t xml:space="preserve">How did concerns over ontological security shape Russia’s discourse toward Armenia during the Nagorno-Karabakh conflict (2015–2024)? </w:t>
      </w:r>
    </w:p>
    <w:p w14:paraId="63E3033F" w14:textId="72031069" w:rsidR="0048056C" w:rsidRPr="00B32F43" w:rsidRDefault="12D8C18A" w:rsidP="004F4D91">
      <w:pPr>
        <w:pStyle w:val="Paragrafoelenco"/>
        <w:spacing w:before="176"/>
        <w:ind w:left="283" w:right="420" w:firstLine="360"/>
        <w:rPr>
          <w:szCs w:val="24"/>
        </w:rPr>
      </w:pPr>
      <w:r w:rsidRPr="00B32F43">
        <w:rPr>
          <w:szCs w:val="24"/>
        </w:rPr>
        <w:t xml:space="preserve">To address this question, this study employs a qualitative idiographic case study design to examine Russia’s role in the Nagorno-Karabakh conflict between 2015 and 2024. Rather than treating this nine-year period as a single, uninterrupted timeline, I divide it into three critical junctures, each marked by significant escalations or transformations in the conflict, alongside intervals of relative calm. </w:t>
      </w:r>
      <w:r w:rsidR="0ADDE6FF" w:rsidRPr="00B32F43">
        <w:rPr>
          <w:szCs w:val="24"/>
        </w:rPr>
        <w:t xml:space="preserve">This method makes it possible to </w:t>
      </w:r>
      <w:r w:rsidR="20CA6D9F" w:rsidRPr="00B32F43">
        <w:rPr>
          <w:szCs w:val="24"/>
        </w:rPr>
        <w:t>identify</w:t>
      </w:r>
      <w:r w:rsidR="0ADDE6FF" w:rsidRPr="00B32F43">
        <w:rPr>
          <w:szCs w:val="24"/>
        </w:rPr>
        <w:t xml:space="preserve"> ontological turning points that either strengthened, challenged, or changed Russia's view of itself as Armenia's protector. </w:t>
      </w:r>
      <w:r w:rsidR="03CD4F8C" w:rsidRPr="00B32F43">
        <w:rPr>
          <w:szCs w:val="24"/>
        </w:rPr>
        <w:t>This method identifies turning points that</w:t>
      </w:r>
      <w:r w:rsidRPr="00B32F43">
        <w:rPr>
          <w:szCs w:val="24"/>
        </w:rPr>
        <w:t xml:space="preserve"> reinforced, challenged, or reshaped Russia’s self-conception as Armenia’s protector. </w:t>
      </w:r>
    </w:p>
    <w:p w14:paraId="17006E04" w14:textId="32E04D8A" w:rsidR="0048056C" w:rsidRPr="00B32F43" w:rsidRDefault="287F821A" w:rsidP="004F4D91">
      <w:pPr>
        <w:pStyle w:val="Paragrafoelenco"/>
        <w:spacing w:before="176"/>
        <w:ind w:left="283" w:right="420" w:firstLine="360"/>
        <w:rPr>
          <w:szCs w:val="24"/>
        </w:rPr>
      </w:pPr>
      <w:r w:rsidRPr="00B32F43">
        <w:rPr>
          <w:szCs w:val="24"/>
        </w:rPr>
        <w:t>The three critical junctures are 2015–2018,</w:t>
      </w:r>
      <w:r w:rsidR="1D7C3993" w:rsidRPr="00B32F43">
        <w:rPr>
          <w:szCs w:val="24"/>
        </w:rPr>
        <w:t xml:space="preserve"> encompassing the Four-Day War and Armenia’s Velvet Revolution; </w:t>
      </w:r>
      <w:r w:rsidR="001C6076">
        <w:rPr>
          <w:rStyle w:val="Rimandonotaapidipagina"/>
          <w:szCs w:val="24"/>
        </w:rPr>
        <w:footnoteReference w:id="4"/>
      </w:r>
      <w:r w:rsidR="001C6076">
        <w:rPr>
          <w:szCs w:val="24"/>
        </w:rPr>
        <w:t xml:space="preserve"> </w:t>
      </w:r>
      <w:r w:rsidR="6A74818B" w:rsidRPr="00B32F43">
        <w:rPr>
          <w:szCs w:val="24"/>
        </w:rPr>
        <w:t>2020–2022,</w:t>
      </w:r>
      <w:r w:rsidR="1D7C3993" w:rsidRPr="00B32F43">
        <w:rPr>
          <w:szCs w:val="24"/>
        </w:rPr>
        <w:t xml:space="preserve"> </w:t>
      </w:r>
      <w:r w:rsidR="216F28A1" w:rsidRPr="00B32F43">
        <w:rPr>
          <w:szCs w:val="24"/>
        </w:rPr>
        <w:t>involving</w:t>
      </w:r>
      <w:r w:rsidR="452A65D1" w:rsidRPr="00B32F43">
        <w:rPr>
          <w:szCs w:val="24"/>
        </w:rPr>
        <w:t xml:space="preserve"> </w:t>
      </w:r>
      <w:r w:rsidRPr="00B32F43">
        <w:rPr>
          <w:szCs w:val="24"/>
        </w:rPr>
        <w:t>the Second Karabakh War and its immediate aftermath; and 202</w:t>
      </w:r>
      <w:r w:rsidR="341577D1" w:rsidRPr="00B32F43">
        <w:rPr>
          <w:szCs w:val="24"/>
        </w:rPr>
        <w:t>3</w:t>
      </w:r>
      <w:r w:rsidRPr="00B32F43">
        <w:rPr>
          <w:szCs w:val="24"/>
        </w:rPr>
        <w:t>–2024, which is when Russia became</w:t>
      </w:r>
      <w:r w:rsidR="08554508" w:rsidRPr="00B32F43">
        <w:rPr>
          <w:szCs w:val="24"/>
        </w:rPr>
        <w:t xml:space="preserve"> increasingly</w:t>
      </w:r>
      <w:r w:rsidRPr="00B32F43">
        <w:rPr>
          <w:szCs w:val="24"/>
        </w:rPr>
        <w:t xml:space="preserve"> isolated </w:t>
      </w:r>
      <w:r w:rsidR="6E8F9827" w:rsidRPr="00B32F43">
        <w:rPr>
          <w:szCs w:val="24"/>
        </w:rPr>
        <w:t>in the region</w:t>
      </w:r>
      <w:r w:rsidRPr="00B32F43">
        <w:rPr>
          <w:szCs w:val="24"/>
        </w:rPr>
        <w:t xml:space="preserve"> after invading Ukraine and the Azerbaijani offensive in</w:t>
      </w:r>
      <w:r w:rsidR="39B81420" w:rsidRPr="00B32F43">
        <w:rPr>
          <w:szCs w:val="24"/>
        </w:rPr>
        <w:t xml:space="preserve"> </w:t>
      </w:r>
      <w:r w:rsidRPr="00B32F43">
        <w:rPr>
          <w:szCs w:val="24"/>
        </w:rPr>
        <w:t>Nagorno-Karabakh.</w:t>
      </w:r>
      <w:r w:rsidR="12D8C18A" w:rsidRPr="00B32F43">
        <w:rPr>
          <w:szCs w:val="24"/>
        </w:rPr>
        <w:t xml:space="preserve"> </w:t>
      </w:r>
    </w:p>
    <w:p w14:paraId="1FBC5011" w14:textId="1E94CE71" w:rsidR="0048056C" w:rsidRPr="00B32F43" w:rsidRDefault="04726997" w:rsidP="004F4D91">
      <w:pPr>
        <w:pStyle w:val="Paragrafoelenco"/>
        <w:spacing w:before="176"/>
        <w:ind w:left="283" w:right="420" w:firstLine="360"/>
        <w:rPr>
          <w:szCs w:val="24"/>
        </w:rPr>
      </w:pPr>
      <w:r w:rsidRPr="00B32F43">
        <w:rPr>
          <w:szCs w:val="24"/>
        </w:rPr>
        <w:t>As a case study, this dissertation extensively engages with secondary literature on Russian foreign policy and national identity. Additionally, it draws on seventy-five primary texts that are derived from both official and semi-official Russian discourse. This material was primarily collected and analyzed in Russian and subsequently translated into English.</w:t>
      </w:r>
    </w:p>
    <w:p w14:paraId="06895909" w14:textId="397334E7" w:rsidR="0048056C" w:rsidRPr="00B32F43" w:rsidRDefault="12D8C18A" w:rsidP="004F4D91">
      <w:pPr>
        <w:pStyle w:val="Paragrafoelenco"/>
        <w:spacing w:before="176"/>
        <w:ind w:left="283" w:right="420" w:firstLine="360"/>
        <w:rPr>
          <w:szCs w:val="24"/>
        </w:rPr>
      </w:pPr>
      <w:r w:rsidRPr="00B32F43">
        <w:rPr>
          <w:szCs w:val="24"/>
        </w:rPr>
        <w:t xml:space="preserve">Although references to “Russia” might suggest that the government is the sole agent in the country’s pursuit of ontological security, my analysis considers a wider population, purposefully selected based on three criteria: consistent commentary on Armenia and Nagorno-Karabakh, wide visibility through media channels, and institutional embeddedness. </w:t>
      </w:r>
      <w:r w:rsidR="2163CC4D" w:rsidRPr="00B32F43">
        <w:rPr>
          <w:szCs w:val="24"/>
        </w:rPr>
        <w:t>These actors play an important role in translating official discourse into emotionally charged narratives that reinforce Russia's hero-protector image.</w:t>
      </w:r>
    </w:p>
    <w:p w14:paraId="5E296FFB" w14:textId="173900C8" w:rsidR="0048056C" w:rsidRPr="00B32F43" w:rsidRDefault="12D8C18A" w:rsidP="004F4D91">
      <w:pPr>
        <w:pStyle w:val="Paragrafoelenco"/>
        <w:spacing w:before="176"/>
        <w:ind w:left="283" w:right="420" w:firstLine="360"/>
        <w:rPr>
          <w:szCs w:val="24"/>
        </w:rPr>
      </w:pPr>
      <w:r w:rsidRPr="00B32F43">
        <w:rPr>
          <w:szCs w:val="24"/>
        </w:rPr>
        <w:t xml:space="preserve">The first group comprises elites, including official press releases and public statements by Russian officials and their representatives. The second encompasses a wide range of state-controlled media outlets, such as television broadcasts, and individuals active in the Russian information space, particularly on Telegram, with attention to contributions from members of the Armenian diaspora in Russia. </w:t>
      </w:r>
    </w:p>
    <w:p w14:paraId="76B9D57C" w14:textId="77BE0642" w:rsidR="0048056C" w:rsidRPr="00B32F43" w:rsidRDefault="12D8C18A" w:rsidP="004F4D91">
      <w:pPr>
        <w:pStyle w:val="Paragrafoelenco"/>
        <w:spacing w:before="176"/>
        <w:ind w:left="283" w:right="420" w:firstLine="360"/>
        <w:rPr>
          <w:szCs w:val="24"/>
        </w:rPr>
      </w:pPr>
      <w:r w:rsidRPr="00B32F43">
        <w:rPr>
          <w:szCs w:val="24"/>
        </w:rPr>
        <w:t xml:space="preserve">Analytically, the study follows an abductive logic of inquiry (Yanow 2014; Saunders et al. 2019). Rather than starting from fixed hypotheses or deriving theory solely from the data, I move iteratively between theoretical concepts—ontological security, collective memory, and honor—and the empirical material. </w:t>
      </w:r>
      <w:r w:rsidR="46DBABA8" w:rsidRPr="00B32F43">
        <w:rPr>
          <w:szCs w:val="24"/>
        </w:rPr>
        <w:t>To support this process, I employ the hero-protector narrative framework developed by Clément et al. (2016). This framework</w:t>
      </w:r>
      <w:r w:rsidRPr="00B32F43">
        <w:rPr>
          <w:szCs w:val="24"/>
        </w:rPr>
        <w:t xml:space="preserve"> examines how political leaders mobilize collective emotions to portray assertiveness as morally justified.</w:t>
      </w:r>
      <w:r w:rsidR="780962C8" w:rsidRPr="00B32F43">
        <w:rPr>
          <w:szCs w:val="24"/>
        </w:rPr>
        <w:t xml:space="preserve"> </w:t>
      </w:r>
      <w:r w:rsidR="2852318A" w:rsidRPr="00B32F43">
        <w:rPr>
          <w:szCs w:val="24"/>
        </w:rPr>
        <w:t>Its</w:t>
      </w:r>
      <w:r w:rsidR="453EFC64" w:rsidRPr="00B32F43">
        <w:rPr>
          <w:szCs w:val="24"/>
        </w:rPr>
        <w:t xml:space="preserve"> structure is based on four roles: the hero-protector, the innocent victim, the perverse aggressor, and the coward.</w:t>
      </w:r>
    </w:p>
    <w:p w14:paraId="523FE610" w14:textId="0F4CCE8B" w:rsidR="0048056C" w:rsidRPr="00B32F43" w:rsidRDefault="69B14397" w:rsidP="004F4D91">
      <w:pPr>
        <w:pStyle w:val="Paragrafoelenco"/>
        <w:spacing w:before="176"/>
        <w:ind w:left="283" w:right="420" w:firstLine="360"/>
        <w:rPr>
          <w:rFonts w:asciiTheme="minorHAnsi" w:eastAsiaTheme="minorEastAsia" w:hAnsiTheme="minorHAnsi" w:cstheme="minorBidi"/>
          <w:szCs w:val="24"/>
        </w:rPr>
      </w:pPr>
      <w:r w:rsidRPr="00B32F43">
        <w:rPr>
          <w:szCs w:val="24"/>
        </w:rPr>
        <w:t>The dissertation employs a methodological framework that integrates</w:t>
      </w:r>
      <w:r w:rsidR="12D8C18A" w:rsidRPr="00B32F43">
        <w:rPr>
          <w:szCs w:val="24"/>
        </w:rPr>
        <w:t xml:space="preserve"> qualitative thematic analysis with emotion discourse analysis (EDA). The latter </w:t>
      </w:r>
      <w:r w:rsidR="2FDA2C02" w:rsidRPr="00B32F43">
        <w:rPr>
          <w:szCs w:val="24"/>
        </w:rPr>
        <w:t>examines how social actors express emotions and utilize emotional categories concerning</w:t>
      </w:r>
      <w:r w:rsidR="12D8C18A" w:rsidRPr="00B32F43">
        <w:rPr>
          <w:szCs w:val="24"/>
        </w:rPr>
        <w:t xml:space="preserve"> subjects, events, or social relationships (Koschut 2018</w:t>
      </w:r>
      <w:r w:rsidR="70E3B0B6" w:rsidRPr="00B32F43">
        <w:rPr>
          <w:szCs w:val="24"/>
        </w:rPr>
        <w:t>,</w:t>
      </w:r>
      <w:r w:rsidR="12D8C18A" w:rsidRPr="00B32F43">
        <w:rPr>
          <w:szCs w:val="24"/>
        </w:rPr>
        <w:t xml:space="preserve"> 277). </w:t>
      </w:r>
      <w:r w:rsidR="5A640BED" w:rsidRPr="00B32F43">
        <w:rPr>
          <w:szCs w:val="24"/>
        </w:rPr>
        <w:t xml:space="preserve">Qualitative thematic analysis establishes the framework for identifying how the four roles of the hero-protector narrative appear across texts, whereas EDA reveals the emotional mechanisms by which Russia's ontological security concerns are expressed and managed in its discourse toward Armenia. </w:t>
      </w:r>
      <w:r w:rsidR="12D8C18A" w:rsidRPr="00B32F43">
        <w:rPr>
          <w:szCs w:val="24"/>
        </w:rPr>
        <w:t>Overall, this methodolo</w:t>
      </w:r>
      <w:r w:rsidR="16F41EA9" w:rsidRPr="00B32F43">
        <w:rPr>
          <w:szCs w:val="24"/>
        </w:rPr>
        <w:t>gical structure</w:t>
      </w:r>
      <w:r w:rsidR="12D8C18A" w:rsidRPr="00B32F43">
        <w:rPr>
          <w:szCs w:val="24"/>
        </w:rPr>
        <w:t xml:space="preserve"> allows me to trace how Russia’s </w:t>
      </w:r>
      <w:r w:rsidR="1A5BA397" w:rsidRPr="00B32F43">
        <w:rPr>
          <w:szCs w:val="24"/>
        </w:rPr>
        <w:t>hero-</w:t>
      </w:r>
      <w:r w:rsidR="12D8C18A" w:rsidRPr="00B32F43">
        <w:rPr>
          <w:szCs w:val="24"/>
        </w:rPr>
        <w:t xml:space="preserve">protector identity is constructed, maintained, and transformed across different moments in the Nagorno-Karabakh conflict, directly addressing the central question of how concerns over ontological security shape its discourse. </w:t>
      </w:r>
    </w:p>
    <w:p w14:paraId="7869E2EE" w14:textId="0FBDBFFD" w:rsidR="0048056C" w:rsidRPr="00B32F43" w:rsidRDefault="00BB0177" w:rsidP="00BB0177">
      <w:pPr>
        <w:pStyle w:val="Titolo2"/>
        <w:ind w:firstLine="283"/>
      </w:pPr>
      <w:bookmarkStart w:id="11" w:name="_Toc215742629"/>
      <w:r>
        <w:t xml:space="preserve">1.4. </w:t>
      </w:r>
      <w:r w:rsidR="0048056C" w:rsidRPr="00B32F43">
        <w:t>Expected contributions</w:t>
      </w:r>
      <w:bookmarkEnd w:id="11"/>
    </w:p>
    <w:p w14:paraId="0671C919" w14:textId="2AA3F18B" w:rsidR="0048056C" w:rsidRPr="00B32F43" w:rsidRDefault="0170FB22" w:rsidP="004F4D91">
      <w:pPr>
        <w:pStyle w:val="Paragrafoelenco"/>
        <w:spacing w:before="176"/>
        <w:ind w:left="283" w:right="420" w:firstLine="360"/>
        <w:rPr>
          <w:szCs w:val="24"/>
        </w:rPr>
      </w:pPr>
      <w:r w:rsidRPr="00B32F43">
        <w:rPr>
          <w:szCs w:val="24"/>
        </w:rPr>
        <w:t>This dissertation offers two main contributions.</w:t>
      </w:r>
      <w:r w:rsidR="53100028" w:rsidRPr="00B32F43">
        <w:rPr>
          <w:szCs w:val="24"/>
        </w:rPr>
        <w:t xml:space="preserve"> </w:t>
      </w:r>
      <w:r w:rsidR="12D8C18A" w:rsidRPr="00B32F43">
        <w:rPr>
          <w:szCs w:val="24"/>
        </w:rPr>
        <w:t xml:space="preserve">Empirically, </w:t>
      </w:r>
      <w:r w:rsidR="2D1BD6C8" w:rsidRPr="00B32F43">
        <w:rPr>
          <w:szCs w:val="24"/>
        </w:rPr>
        <w:t>it</w:t>
      </w:r>
      <w:r w:rsidR="12D8C18A" w:rsidRPr="00B32F43">
        <w:rPr>
          <w:szCs w:val="24"/>
        </w:rPr>
        <w:t xml:space="preserve"> contributes to the literature on Russian foreign policy in the Nagorno-Karabakh conflict by deliberately moving away from an outcome-oriented analysis.</w:t>
      </w:r>
      <w:r w:rsidR="20C9482D" w:rsidRPr="00B32F43">
        <w:rPr>
          <w:szCs w:val="24"/>
        </w:rPr>
        <w:t xml:space="preserve"> To do so, I propose taking a socio-psychological approach to studying Russia's role in the South Caucasus, which will provide new insights into </w:t>
      </w:r>
      <w:r w:rsidR="09B97453" w:rsidRPr="00B32F43">
        <w:rPr>
          <w:szCs w:val="24"/>
        </w:rPr>
        <w:t>a</w:t>
      </w:r>
      <w:r w:rsidR="20C9482D" w:rsidRPr="00B32F43">
        <w:rPr>
          <w:szCs w:val="24"/>
        </w:rPr>
        <w:t xml:space="preserve"> conflict that has received little scholarly attention in the context of Russian foreign policy discourse.</w:t>
      </w:r>
      <w:r w:rsidR="12D8C18A" w:rsidRPr="00B32F43">
        <w:rPr>
          <w:szCs w:val="24"/>
        </w:rPr>
        <w:t xml:space="preserve"> </w:t>
      </w:r>
    </w:p>
    <w:p w14:paraId="563C7130" w14:textId="45A1A82D" w:rsidR="0048056C" w:rsidRPr="00B32F43" w:rsidRDefault="12D8C18A" w:rsidP="004F4D91">
      <w:pPr>
        <w:pStyle w:val="Paragrafoelenco"/>
        <w:spacing w:before="176"/>
        <w:ind w:left="283" w:right="420" w:firstLine="360"/>
        <w:rPr>
          <w:szCs w:val="24"/>
        </w:rPr>
      </w:pPr>
      <w:r w:rsidRPr="39E0B0F2">
        <w:rPr>
          <w:szCs w:val="24"/>
        </w:rPr>
        <w:t xml:space="preserve">Theoretically, the study </w:t>
      </w:r>
      <w:r w:rsidR="6D984363" w:rsidRPr="39E0B0F2">
        <w:rPr>
          <w:szCs w:val="24"/>
        </w:rPr>
        <w:t>aim</w:t>
      </w:r>
      <w:r w:rsidRPr="39E0B0F2">
        <w:rPr>
          <w:szCs w:val="24"/>
        </w:rPr>
        <w:t xml:space="preserve">s to advance the debate on Russia’s ontological security, which </w:t>
      </w:r>
      <w:r w:rsidR="15650272" w:rsidRPr="39E0B0F2">
        <w:rPr>
          <w:szCs w:val="24"/>
        </w:rPr>
        <w:t>has often been framed as a quest for great power status by constructivist scholarship on Russian foreign policy</w:t>
      </w:r>
      <w:r w:rsidR="57398479" w:rsidRPr="39E0B0F2">
        <w:rPr>
          <w:szCs w:val="24"/>
        </w:rPr>
        <w:t xml:space="preserve"> </w:t>
      </w:r>
      <w:r w:rsidRPr="39E0B0F2">
        <w:rPr>
          <w:szCs w:val="24"/>
        </w:rPr>
        <w:t xml:space="preserve">(Checkel 1997; Prizel 1998; Hopf 2002; Neumann 2008; Zarakol 2011; Tsygankov 2012; Forsberg 2014; Morozov 2015; Hansen 2016; Reshetnikov 2017; Curanović 2021; Kanet </w:t>
      </w:r>
      <w:r w:rsidR="50F911A3" w:rsidRPr="39E0B0F2">
        <w:rPr>
          <w:szCs w:val="24"/>
        </w:rPr>
        <w:t>&amp;</w:t>
      </w:r>
      <w:r w:rsidRPr="39E0B0F2">
        <w:rPr>
          <w:szCs w:val="24"/>
        </w:rPr>
        <w:t xml:space="preserve"> Moulioukova 2022). </w:t>
      </w:r>
      <w:r w:rsidR="02AE73F4" w:rsidRPr="39E0B0F2">
        <w:rPr>
          <w:szCs w:val="24"/>
        </w:rPr>
        <w:t xml:space="preserve">Central to this perspective is the idea that the West, which is primarily represented by the United States and the European Union within the post-Cold War international order, serves as </w:t>
      </w:r>
      <w:r w:rsidR="410082C4" w:rsidRPr="39E0B0F2">
        <w:rPr>
          <w:szCs w:val="24"/>
        </w:rPr>
        <w:t>Moscow</w:t>
      </w:r>
      <w:r w:rsidR="02AE73F4" w:rsidRPr="39E0B0F2">
        <w:rPr>
          <w:szCs w:val="24"/>
        </w:rPr>
        <w:t xml:space="preserve">'s primary significant </w:t>
      </w:r>
      <w:r w:rsidR="1BB37B8C" w:rsidRPr="39E0B0F2">
        <w:rPr>
          <w:szCs w:val="24"/>
        </w:rPr>
        <w:t>Other</w:t>
      </w:r>
      <w:r w:rsidR="02AE73F4" w:rsidRPr="39E0B0F2">
        <w:rPr>
          <w:szCs w:val="24"/>
        </w:rPr>
        <w:t xml:space="preserve"> and that Russia aspires to be recognized as a great power by it.</w:t>
      </w:r>
    </w:p>
    <w:p w14:paraId="785B5DFD" w14:textId="62D28A9F" w:rsidR="78DCD375" w:rsidRPr="00B32F43" w:rsidRDefault="78DCD375" w:rsidP="004F4D91">
      <w:pPr>
        <w:pStyle w:val="Paragrafoelenco"/>
        <w:spacing w:before="176"/>
        <w:ind w:left="283" w:right="420" w:firstLine="360"/>
        <w:rPr>
          <w:szCs w:val="24"/>
        </w:rPr>
      </w:pPr>
      <w:r w:rsidRPr="00B32F43">
        <w:rPr>
          <w:szCs w:val="24"/>
        </w:rPr>
        <w:t xml:space="preserve">This body of literature often portrays Russia’s relations with its former imperial periphery as merely a byproduct of its pursuit of horizontal interaction with the West. </w:t>
      </w:r>
      <w:r w:rsidR="57A26FFA" w:rsidRPr="00B32F43">
        <w:rPr>
          <w:szCs w:val="24"/>
        </w:rPr>
        <w:t xml:space="preserve">Accordingly, the Kremlin's security practices in post-Soviet space are </w:t>
      </w:r>
      <w:r w:rsidR="42D8DD6E" w:rsidRPr="00B32F43">
        <w:rPr>
          <w:szCs w:val="24"/>
        </w:rPr>
        <w:t>con</w:t>
      </w:r>
      <w:r w:rsidR="57A26FFA" w:rsidRPr="00B32F43">
        <w:rPr>
          <w:szCs w:val="24"/>
        </w:rPr>
        <w:t>s</w:t>
      </w:r>
      <w:r w:rsidR="42D8DD6E" w:rsidRPr="00B32F43">
        <w:rPr>
          <w:szCs w:val="24"/>
        </w:rPr>
        <w:t>idered</w:t>
      </w:r>
      <w:r w:rsidR="57A26FFA" w:rsidRPr="00B32F43">
        <w:rPr>
          <w:szCs w:val="24"/>
        </w:rPr>
        <w:t xml:space="preserve"> a response to the West's refusal to recognize that there are "regions in which Russia has privileged interests," as stated by President Dmitry Medvedev in 2008 (President of Russia 2008).</w:t>
      </w:r>
    </w:p>
    <w:p w14:paraId="2CA824CF" w14:textId="766C5C1D" w:rsidR="00EB6F2A" w:rsidRPr="00B32F43" w:rsidRDefault="12D8C18A" w:rsidP="004F4D91">
      <w:pPr>
        <w:pStyle w:val="Paragrafoelenco"/>
        <w:spacing w:before="176"/>
        <w:ind w:left="283" w:right="420" w:firstLine="360"/>
        <w:rPr>
          <w:szCs w:val="24"/>
        </w:rPr>
      </w:pPr>
      <w:r w:rsidRPr="00B32F43">
        <w:rPr>
          <w:szCs w:val="24"/>
        </w:rPr>
        <w:t>While I do not intend to downplay the significant role of the West in shaping Russia’s pursuit of ontological security, this study argues that when examining Russia’s self-perception as the South Caucasus’</w:t>
      </w:r>
      <w:r w:rsidR="3275FBCD" w:rsidRPr="00B32F43">
        <w:rPr>
          <w:szCs w:val="24"/>
        </w:rPr>
        <w:t xml:space="preserve"> </w:t>
      </w:r>
      <w:r w:rsidRPr="00B32F43">
        <w:rPr>
          <w:szCs w:val="24"/>
        </w:rPr>
        <w:t>security guarantor, its vertical relationships with states and communities on its former imperial periphery are as important as its horizontal interactions with Western countries and other great powers.</w:t>
      </w:r>
      <w:r w:rsidR="4D05A8DD" w:rsidRPr="00B32F43">
        <w:rPr>
          <w:szCs w:val="24"/>
        </w:rPr>
        <w:t xml:space="preserve"> </w:t>
      </w:r>
    </w:p>
    <w:p w14:paraId="4E0DD45F" w14:textId="6AD11765" w:rsidR="1A5CC969" w:rsidRPr="00B32F43" w:rsidRDefault="1A5CC969" w:rsidP="004F4D91">
      <w:pPr>
        <w:pStyle w:val="Paragrafoelenco"/>
        <w:spacing w:before="176"/>
        <w:ind w:left="283" w:right="420" w:firstLine="360"/>
        <w:rPr>
          <w:szCs w:val="24"/>
        </w:rPr>
      </w:pPr>
      <w:r w:rsidRPr="00B32F43">
        <w:rPr>
          <w:szCs w:val="24"/>
        </w:rPr>
        <w:t xml:space="preserve">In fact, focusing solely on the dynamics of “othering” between Russia and the West overlooks two important dimensions. The first concerns the impact of the Tsarist Empire’s “multi-vectored colonial encounters” on Russia’s self-identity (Morozov 2015, 65). The second is that Russia’s sense of honor, closely tied to its self-image as a security guarantor, is sustained through the protection of what Tsygankov (2014, 133) </w:t>
      </w:r>
      <w:r w:rsidR="5C3FA95C" w:rsidRPr="00B32F43">
        <w:rPr>
          <w:szCs w:val="24"/>
        </w:rPr>
        <w:t>labe</w:t>
      </w:r>
      <w:r w:rsidRPr="00B32F43">
        <w:rPr>
          <w:szCs w:val="24"/>
        </w:rPr>
        <w:t>ls “cultural allies.” These are communities toward which the Kremlin has historically adopted a paternalistic stance, perceiving them not as sovereign equals but as dependent recipients of its care and protection (Curanović 2021, 65).</w:t>
      </w:r>
    </w:p>
    <w:p w14:paraId="6949A828" w14:textId="06B56AD4" w:rsidR="0048056C" w:rsidRPr="00B32F43" w:rsidRDefault="00BB0177" w:rsidP="00BB0177">
      <w:pPr>
        <w:pStyle w:val="Titolo2"/>
        <w:ind w:firstLine="283"/>
      </w:pPr>
      <w:bookmarkStart w:id="12" w:name="_Toc215742630"/>
      <w:r>
        <w:t xml:space="preserve">1.5. </w:t>
      </w:r>
      <w:r w:rsidR="0048056C" w:rsidRPr="00B32F43">
        <w:t xml:space="preserve">Roadmap of the </w:t>
      </w:r>
      <w:r w:rsidR="00A241EB">
        <w:t>D</w:t>
      </w:r>
      <w:r w:rsidR="0048056C" w:rsidRPr="00B32F43">
        <w:t>issertation</w:t>
      </w:r>
      <w:bookmarkEnd w:id="12"/>
    </w:p>
    <w:p w14:paraId="7FF10E4B" w14:textId="20676F50" w:rsidR="00EB6F2A" w:rsidRPr="00B32F43" w:rsidRDefault="53100028" w:rsidP="004F4D91">
      <w:pPr>
        <w:pStyle w:val="Paragrafoelenco"/>
        <w:spacing w:before="176"/>
        <w:ind w:left="283" w:right="420" w:firstLine="360"/>
        <w:rPr>
          <w:szCs w:val="24"/>
        </w:rPr>
      </w:pPr>
      <w:r w:rsidRPr="00B32F43">
        <w:rPr>
          <w:szCs w:val="24"/>
        </w:rPr>
        <w:t xml:space="preserve">This dissertation is organized into seven chapters. </w:t>
      </w:r>
      <w:r w:rsidR="3B3F37F4" w:rsidRPr="00B32F43">
        <w:rPr>
          <w:szCs w:val="24"/>
        </w:rPr>
        <w:t>The first five chapters lay the groundwork for the empirical analysis in the last two chapters by setting up the theoretical, analytical, methodological, and historical bases.</w:t>
      </w:r>
      <w:r w:rsidRPr="00B32F43">
        <w:rPr>
          <w:szCs w:val="24"/>
        </w:rPr>
        <w:t xml:space="preserve"> Following this introductory section, Chapter Two, “Theoretical Framework,” introduces the concept of ontological security and explores its relationship with honor and memory politics, emphasizing how these notions converge in the idea of deference. It then presents the analytical framework known as the hero-protector narrative (Clément et al. 2016) and explains why it provides a suitable foundation for the abductive approach adopted in this study.</w:t>
      </w:r>
    </w:p>
    <w:p w14:paraId="4E4D2DEF" w14:textId="5E4F8BFA" w:rsidR="00EB6F2A" w:rsidRPr="00B32F43" w:rsidRDefault="53100028" w:rsidP="004F4D91">
      <w:pPr>
        <w:pStyle w:val="Paragrafoelenco"/>
        <w:spacing w:before="176"/>
        <w:ind w:left="283" w:right="420" w:firstLine="360"/>
        <w:rPr>
          <w:szCs w:val="24"/>
        </w:rPr>
      </w:pPr>
      <w:r w:rsidRPr="00B32F43">
        <w:rPr>
          <w:szCs w:val="24"/>
        </w:rPr>
        <w:t xml:space="preserve">Chapter Three, “Literature Review,” is divided into two parts. The first, after briefly contextualizing the Nagorno-Karabakh conflict, examines how existing scholarship has analyzed Russia’s role, showing that both before and after the events of September 2023, most </w:t>
      </w:r>
      <w:r w:rsidR="7892961C" w:rsidRPr="00B32F43">
        <w:rPr>
          <w:szCs w:val="24"/>
        </w:rPr>
        <w:t xml:space="preserve">scholarly and non-scholarly </w:t>
      </w:r>
      <w:r w:rsidRPr="00B32F43">
        <w:rPr>
          <w:szCs w:val="24"/>
        </w:rPr>
        <w:t>accounts have relied primarily on outcome-based explanations</w:t>
      </w:r>
      <w:r w:rsidR="1A937735" w:rsidRPr="00B32F43">
        <w:rPr>
          <w:szCs w:val="24"/>
        </w:rPr>
        <w:t xml:space="preserve"> to examine its practices in the conflict</w:t>
      </w:r>
      <w:r w:rsidRPr="00B32F43">
        <w:rPr>
          <w:szCs w:val="24"/>
        </w:rPr>
        <w:t xml:space="preserve">. The second part turns to constructivist approaches to Russian foreign policy and considers how the three theoretical concepts have been employed to date. In both cases, </w:t>
      </w:r>
      <w:r w:rsidR="3D5EF627" w:rsidRPr="00B32F43">
        <w:rPr>
          <w:szCs w:val="24"/>
        </w:rPr>
        <w:t>I aim</w:t>
      </w:r>
      <w:r w:rsidRPr="00B32F43">
        <w:rPr>
          <w:szCs w:val="24"/>
        </w:rPr>
        <w:t xml:space="preserve"> to identify the research gaps that this dissertation seeks to address.</w:t>
      </w:r>
    </w:p>
    <w:p w14:paraId="1F08F9C1" w14:textId="0CCDE0E8" w:rsidR="00EB6F2A" w:rsidRPr="00B32F43" w:rsidRDefault="00EB6F2A" w:rsidP="004F4D91">
      <w:pPr>
        <w:pStyle w:val="Paragrafoelenco"/>
        <w:spacing w:before="176"/>
        <w:ind w:left="283" w:right="420" w:firstLine="360"/>
        <w:rPr>
          <w:szCs w:val="24"/>
        </w:rPr>
      </w:pPr>
      <w:r w:rsidRPr="7B68E945">
        <w:rPr>
          <w:szCs w:val="24"/>
        </w:rPr>
        <w:t xml:space="preserve">Chapter Four, “Methodology,” outlines the research design, data collection, and sampling techniques. </w:t>
      </w:r>
      <w:r w:rsidR="26A8088E" w:rsidRPr="7B68E945">
        <w:rPr>
          <w:szCs w:val="24"/>
        </w:rPr>
        <w:t>It delineates and substantiates the units of analysis, specifically the actors who convey the state's biographical narrative, along with the interpretive methodologies employed to scrutinize their discourse.</w:t>
      </w:r>
      <w:r w:rsidRPr="7B68E945">
        <w:rPr>
          <w:szCs w:val="24"/>
        </w:rPr>
        <w:t xml:space="preserve"> </w:t>
      </w:r>
    </w:p>
    <w:p w14:paraId="00E801BB" w14:textId="2E2E788E" w:rsidR="00EB6F2A" w:rsidRPr="00B32F43" w:rsidRDefault="5CAE6DD3" w:rsidP="004F4D91">
      <w:pPr>
        <w:pStyle w:val="Paragrafoelenco"/>
        <w:spacing w:before="176"/>
        <w:ind w:left="283" w:right="420" w:firstLine="360"/>
        <w:rPr>
          <w:szCs w:val="24"/>
        </w:rPr>
      </w:pPr>
      <w:r w:rsidRPr="00B32F43">
        <w:rPr>
          <w:szCs w:val="24"/>
        </w:rPr>
        <w:t xml:space="preserve">Chapter Five, "The Hero-Protector Context," </w:t>
      </w:r>
      <w:r w:rsidR="3309984F" w:rsidRPr="00B32F43">
        <w:rPr>
          <w:szCs w:val="24"/>
        </w:rPr>
        <w:t>covers</w:t>
      </w:r>
      <w:r w:rsidRPr="00B32F43">
        <w:rPr>
          <w:szCs w:val="24"/>
        </w:rPr>
        <w:t xml:space="preserve"> Russian-Armenian relations in depth, highlighting the factors that have kept the two countries together and contributed to their foreign policy alignment throughout the conflict. It also traces the historical roots of the protector narrative that underpins Russia's deference politics, showing how, despite its origin in a distant past, this narrative endured through the Soviet period and continues to shape relations today</w:t>
      </w:r>
      <w:r w:rsidR="53100028" w:rsidRPr="00B32F43">
        <w:rPr>
          <w:szCs w:val="24"/>
        </w:rPr>
        <w:t xml:space="preserve">. </w:t>
      </w:r>
    </w:p>
    <w:p w14:paraId="49ADD433" w14:textId="46C4449A" w:rsidR="00B32F43" w:rsidRPr="004F4D91" w:rsidRDefault="1F625BEC" w:rsidP="004F4D91">
      <w:pPr>
        <w:pStyle w:val="Paragrafoelenco"/>
        <w:spacing w:before="176"/>
        <w:ind w:left="283" w:right="420" w:firstLine="360"/>
        <w:rPr>
          <w:szCs w:val="24"/>
        </w:rPr>
      </w:pPr>
      <w:r w:rsidRPr="00B32F43">
        <w:rPr>
          <w:szCs w:val="24"/>
        </w:rPr>
        <w:t>The empirical core of the dissertation lies in Chapter Six, "Russia's Politics of Deference."</w:t>
      </w:r>
      <w:r w:rsidR="53100028" w:rsidRPr="00B32F43">
        <w:rPr>
          <w:szCs w:val="24"/>
        </w:rPr>
        <w:t xml:space="preserve"> </w:t>
      </w:r>
      <w:r w:rsidR="441E9B30" w:rsidRPr="00B32F43">
        <w:rPr>
          <w:szCs w:val="24"/>
        </w:rPr>
        <w:t xml:space="preserve">This section demonstrates how experiences of ontological </w:t>
      </w:r>
      <w:r w:rsidR="1244BEBE" w:rsidRPr="00B32F43">
        <w:rPr>
          <w:szCs w:val="24"/>
        </w:rPr>
        <w:t>(</w:t>
      </w:r>
      <w:r w:rsidR="441E9B30" w:rsidRPr="00B32F43">
        <w:rPr>
          <w:szCs w:val="24"/>
        </w:rPr>
        <w:t>in</w:t>
      </w:r>
      <w:r w:rsidR="3F996D8E" w:rsidRPr="00B32F43">
        <w:rPr>
          <w:szCs w:val="24"/>
        </w:rPr>
        <w:t>)</w:t>
      </w:r>
      <w:r w:rsidR="441E9B30" w:rsidRPr="00B32F43">
        <w:rPr>
          <w:szCs w:val="24"/>
        </w:rPr>
        <w:t xml:space="preserve">security shaped the meanings that Russian actors attributed to their country’s involvement in the Nagorno-Karabakh conflict during the 2016 Four-Day War, the 2020 Second Karabakh War, and the events of September 2023. </w:t>
      </w:r>
      <w:r w:rsidR="53100028" w:rsidRPr="00B32F43">
        <w:rPr>
          <w:szCs w:val="24"/>
        </w:rPr>
        <w:t xml:space="preserve">Finally, Chapter Seven, “Conclusion,” synthesizes the theoretical and empirical findings by addressing the central research question and </w:t>
      </w:r>
      <w:bookmarkStart w:id="13" w:name="_Int_5KfeqElY"/>
      <w:r w:rsidR="53100028" w:rsidRPr="00B32F43">
        <w:rPr>
          <w:szCs w:val="24"/>
        </w:rPr>
        <w:t>reflecting on</w:t>
      </w:r>
      <w:bookmarkEnd w:id="13"/>
      <w:r w:rsidR="53100028" w:rsidRPr="00B32F43">
        <w:rPr>
          <w:szCs w:val="24"/>
        </w:rPr>
        <w:t xml:space="preserve"> the broader implications of the study. It offers insights into the evolving trajectory of Russia’s role in the South Caucasus, extending beyond its relationship with Armenia, and suggest</w:t>
      </w:r>
      <w:r w:rsidR="44A8E263" w:rsidRPr="00B32F43">
        <w:rPr>
          <w:szCs w:val="24"/>
        </w:rPr>
        <w:t>ing</w:t>
      </w:r>
      <w:r w:rsidR="53100028" w:rsidRPr="00B32F43">
        <w:rPr>
          <w:szCs w:val="24"/>
        </w:rPr>
        <w:t xml:space="preserve"> possible directions for future research on Russia’s ontological security. </w:t>
      </w:r>
    </w:p>
    <w:p w14:paraId="555777CE" w14:textId="77777777" w:rsidR="00B32F43" w:rsidRPr="00B32F43" w:rsidRDefault="00B32F43" w:rsidP="004F4D91">
      <w:pPr>
        <w:widowControl/>
        <w:autoSpaceDE/>
        <w:autoSpaceDN/>
        <w:spacing w:before="176"/>
        <w:ind w:left="283" w:right="420" w:firstLine="360"/>
        <w:contextualSpacing/>
        <w:rPr>
          <w:smallCaps/>
          <w:szCs w:val="24"/>
        </w:rPr>
      </w:pPr>
    </w:p>
    <w:p w14:paraId="564FF4F7" w14:textId="77777777" w:rsidR="00B32F43" w:rsidRPr="00B32F43" w:rsidRDefault="00B32F43" w:rsidP="004F4D91">
      <w:pPr>
        <w:widowControl/>
        <w:autoSpaceDE/>
        <w:autoSpaceDN/>
        <w:spacing w:before="176"/>
        <w:ind w:left="283" w:right="420" w:firstLine="360"/>
        <w:contextualSpacing/>
        <w:rPr>
          <w:smallCaps/>
          <w:szCs w:val="24"/>
        </w:rPr>
      </w:pPr>
    </w:p>
    <w:p w14:paraId="3C573FEF" w14:textId="77777777" w:rsidR="00B32F43" w:rsidRPr="00B32F43" w:rsidRDefault="00B32F43" w:rsidP="004F4D91">
      <w:pPr>
        <w:widowControl/>
        <w:autoSpaceDE/>
        <w:autoSpaceDN/>
        <w:spacing w:before="176"/>
        <w:ind w:left="283" w:right="420" w:firstLine="360"/>
        <w:contextualSpacing/>
        <w:rPr>
          <w:smallCaps/>
          <w:szCs w:val="24"/>
        </w:rPr>
      </w:pPr>
    </w:p>
    <w:p w14:paraId="7F670C30" w14:textId="77777777" w:rsidR="00B32F43" w:rsidRPr="00B32F43" w:rsidRDefault="00B32F43" w:rsidP="004F4D91">
      <w:pPr>
        <w:widowControl/>
        <w:autoSpaceDE/>
        <w:autoSpaceDN/>
        <w:spacing w:before="176"/>
        <w:ind w:left="283" w:right="420" w:firstLine="360"/>
        <w:contextualSpacing/>
        <w:rPr>
          <w:smallCaps/>
          <w:szCs w:val="24"/>
        </w:rPr>
      </w:pPr>
    </w:p>
    <w:p w14:paraId="7D49C391" w14:textId="77777777" w:rsidR="00B32F43" w:rsidRPr="00B32F43" w:rsidRDefault="00B32F43" w:rsidP="004F4D91">
      <w:pPr>
        <w:widowControl/>
        <w:autoSpaceDE/>
        <w:autoSpaceDN/>
        <w:spacing w:before="176"/>
        <w:ind w:left="283" w:right="420" w:firstLine="360"/>
        <w:contextualSpacing/>
        <w:rPr>
          <w:smallCaps/>
          <w:szCs w:val="24"/>
        </w:rPr>
      </w:pPr>
    </w:p>
    <w:p w14:paraId="6FE74F72" w14:textId="77777777" w:rsidR="00B32F43" w:rsidRPr="00B32F43" w:rsidRDefault="00B32F43" w:rsidP="004F4D91">
      <w:pPr>
        <w:widowControl/>
        <w:autoSpaceDE/>
        <w:autoSpaceDN/>
        <w:spacing w:before="176"/>
        <w:ind w:left="283" w:right="420" w:firstLine="360"/>
        <w:contextualSpacing/>
        <w:rPr>
          <w:smallCaps/>
          <w:szCs w:val="24"/>
        </w:rPr>
      </w:pPr>
    </w:p>
    <w:p w14:paraId="7BECEC13" w14:textId="77777777" w:rsidR="00B32F43" w:rsidRPr="00B32F43" w:rsidRDefault="00B32F43" w:rsidP="004F4D91">
      <w:pPr>
        <w:widowControl/>
        <w:autoSpaceDE/>
        <w:autoSpaceDN/>
        <w:spacing w:before="176"/>
        <w:ind w:left="283" w:right="420" w:firstLine="360"/>
        <w:contextualSpacing/>
        <w:rPr>
          <w:smallCaps/>
          <w:szCs w:val="24"/>
        </w:rPr>
      </w:pPr>
    </w:p>
    <w:p w14:paraId="151920D5" w14:textId="77777777" w:rsidR="00B32F43" w:rsidRPr="00B32F43" w:rsidRDefault="00B32F43" w:rsidP="004F4D91">
      <w:pPr>
        <w:widowControl/>
        <w:autoSpaceDE/>
        <w:autoSpaceDN/>
        <w:spacing w:before="176"/>
        <w:ind w:left="283" w:right="420" w:firstLine="360"/>
        <w:contextualSpacing/>
        <w:rPr>
          <w:smallCaps/>
          <w:szCs w:val="24"/>
        </w:rPr>
      </w:pPr>
    </w:p>
    <w:p w14:paraId="5F06A41D" w14:textId="3A8FCE39" w:rsidR="00FF4BA0" w:rsidRDefault="00FF4BA0" w:rsidP="00BE6C94">
      <w:pPr>
        <w:widowControl/>
        <w:autoSpaceDE/>
        <w:autoSpaceDN/>
        <w:spacing w:before="176"/>
        <w:ind w:right="420" w:firstLine="0"/>
        <w:contextualSpacing/>
        <w:rPr>
          <w:smallCaps/>
          <w:szCs w:val="24"/>
        </w:rPr>
      </w:pPr>
    </w:p>
    <w:p w14:paraId="39E73155" w14:textId="755C4E6F" w:rsidR="00105922" w:rsidRDefault="00105922" w:rsidP="00BE6C94">
      <w:pPr>
        <w:widowControl/>
        <w:autoSpaceDE/>
        <w:autoSpaceDN/>
        <w:spacing w:before="176"/>
        <w:ind w:right="420" w:firstLine="0"/>
        <w:contextualSpacing/>
        <w:rPr>
          <w:smallCaps/>
          <w:szCs w:val="24"/>
        </w:rPr>
      </w:pPr>
    </w:p>
    <w:p w14:paraId="713A003E" w14:textId="320186C6" w:rsidR="00105922" w:rsidRDefault="00105922" w:rsidP="00BE6C94">
      <w:pPr>
        <w:widowControl/>
        <w:autoSpaceDE/>
        <w:autoSpaceDN/>
        <w:spacing w:before="176"/>
        <w:ind w:right="420" w:firstLine="0"/>
        <w:contextualSpacing/>
        <w:rPr>
          <w:smallCaps/>
          <w:szCs w:val="24"/>
        </w:rPr>
      </w:pPr>
    </w:p>
    <w:p w14:paraId="7F9C375D" w14:textId="625FEFEC" w:rsidR="00105922" w:rsidRDefault="00105922" w:rsidP="00BE6C94">
      <w:pPr>
        <w:widowControl/>
        <w:autoSpaceDE/>
        <w:autoSpaceDN/>
        <w:spacing w:before="176"/>
        <w:ind w:right="420" w:firstLine="0"/>
        <w:contextualSpacing/>
        <w:rPr>
          <w:smallCaps/>
          <w:szCs w:val="24"/>
        </w:rPr>
      </w:pPr>
    </w:p>
    <w:p w14:paraId="15840B2D" w14:textId="1F8FCA18" w:rsidR="00105922" w:rsidRDefault="00105922" w:rsidP="00BE6C94">
      <w:pPr>
        <w:widowControl/>
        <w:autoSpaceDE/>
        <w:autoSpaceDN/>
        <w:spacing w:before="176"/>
        <w:ind w:right="420" w:firstLine="0"/>
        <w:contextualSpacing/>
        <w:rPr>
          <w:smallCaps/>
          <w:szCs w:val="24"/>
        </w:rPr>
      </w:pPr>
    </w:p>
    <w:p w14:paraId="6A48D0A9" w14:textId="0A05CFDA" w:rsidR="00105922" w:rsidRDefault="00105922" w:rsidP="00BE6C94">
      <w:pPr>
        <w:widowControl/>
        <w:autoSpaceDE/>
        <w:autoSpaceDN/>
        <w:spacing w:before="176"/>
        <w:ind w:right="420" w:firstLine="0"/>
        <w:contextualSpacing/>
        <w:rPr>
          <w:smallCaps/>
          <w:szCs w:val="24"/>
        </w:rPr>
      </w:pPr>
    </w:p>
    <w:p w14:paraId="1C03A142" w14:textId="7AD29E22" w:rsidR="00105922" w:rsidRDefault="00105922" w:rsidP="00BE6C94">
      <w:pPr>
        <w:widowControl/>
        <w:autoSpaceDE/>
        <w:autoSpaceDN/>
        <w:spacing w:before="176"/>
        <w:ind w:right="420" w:firstLine="0"/>
        <w:contextualSpacing/>
        <w:rPr>
          <w:smallCaps/>
          <w:szCs w:val="24"/>
        </w:rPr>
      </w:pPr>
    </w:p>
    <w:p w14:paraId="7D096CDE" w14:textId="0D34FE5C" w:rsidR="00105922" w:rsidRDefault="00105922" w:rsidP="00BE6C94">
      <w:pPr>
        <w:widowControl/>
        <w:autoSpaceDE/>
        <w:autoSpaceDN/>
        <w:spacing w:before="176"/>
        <w:ind w:right="420" w:firstLine="0"/>
        <w:contextualSpacing/>
        <w:rPr>
          <w:smallCaps/>
          <w:szCs w:val="24"/>
        </w:rPr>
      </w:pPr>
    </w:p>
    <w:p w14:paraId="450ED182" w14:textId="266DD1A2" w:rsidR="00105922" w:rsidRDefault="00105922" w:rsidP="00BE6C94">
      <w:pPr>
        <w:widowControl/>
        <w:autoSpaceDE/>
        <w:autoSpaceDN/>
        <w:spacing w:before="176"/>
        <w:ind w:right="420" w:firstLine="0"/>
        <w:contextualSpacing/>
        <w:rPr>
          <w:smallCaps/>
          <w:szCs w:val="24"/>
        </w:rPr>
      </w:pPr>
    </w:p>
    <w:p w14:paraId="5E10036D" w14:textId="083BDC48" w:rsidR="00105922" w:rsidRDefault="00105922" w:rsidP="00BE6C94">
      <w:pPr>
        <w:widowControl/>
        <w:autoSpaceDE/>
        <w:autoSpaceDN/>
        <w:spacing w:before="176"/>
        <w:ind w:right="420" w:firstLine="0"/>
        <w:contextualSpacing/>
        <w:rPr>
          <w:smallCaps/>
          <w:szCs w:val="24"/>
        </w:rPr>
      </w:pPr>
    </w:p>
    <w:p w14:paraId="7B7E71A5" w14:textId="0B9A4156" w:rsidR="00105922" w:rsidRDefault="00105922" w:rsidP="00BE6C94">
      <w:pPr>
        <w:widowControl/>
        <w:autoSpaceDE/>
        <w:autoSpaceDN/>
        <w:spacing w:before="176"/>
        <w:ind w:right="420" w:firstLine="0"/>
        <w:contextualSpacing/>
        <w:rPr>
          <w:smallCaps/>
          <w:szCs w:val="24"/>
        </w:rPr>
      </w:pPr>
    </w:p>
    <w:p w14:paraId="37C92854" w14:textId="68DB5F5F" w:rsidR="00105922" w:rsidRDefault="00105922" w:rsidP="00BE6C94">
      <w:pPr>
        <w:widowControl/>
        <w:autoSpaceDE/>
        <w:autoSpaceDN/>
        <w:spacing w:before="176"/>
        <w:ind w:right="420" w:firstLine="0"/>
        <w:contextualSpacing/>
        <w:rPr>
          <w:smallCaps/>
          <w:szCs w:val="24"/>
        </w:rPr>
      </w:pPr>
    </w:p>
    <w:p w14:paraId="42E6AFD4" w14:textId="47188730" w:rsidR="00105922" w:rsidRDefault="00105922" w:rsidP="00BE6C94">
      <w:pPr>
        <w:widowControl/>
        <w:autoSpaceDE/>
        <w:autoSpaceDN/>
        <w:spacing w:before="176"/>
        <w:ind w:right="420" w:firstLine="0"/>
        <w:contextualSpacing/>
        <w:rPr>
          <w:smallCaps/>
          <w:szCs w:val="24"/>
        </w:rPr>
      </w:pPr>
    </w:p>
    <w:p w14:paraId="130719E1" w14:textId="4BFD2927" w:rsidR="00105922" w:rsidRDefault="00105922" w:rsidP="00BE6C94">
      <w:pPr>
        <w:widowControl/>
        <w:autoSpaceDE/>
        <w:autoSpaceDN/>
        <w:spacing w:before="176"/>
        <w:ind w:right="420" w:firstLine="0"/>
        <w:contextualSpacing/>
        <w:rPr>
          <w:smallCaps/>
          <w:szCs w:val="24"/>
        </w:rPr>
      </w:pPr>
    </w:p>
    <w:p w14:paraId="4A209FA0" w14:textId="48B7C5F5" w:rsidR="00105922" w:rsidRDefault="00105922" w:rsidP="00BE6C94">
      <w:pPr>
        <w:widowControl/>
        <w:autoSpaceDE/>
        <w:autoSpaceDN/>
        <w:spacing w:before="176"/>
        <w:ind w:right="420" w:firstLine="0"/>
        <w:contextualSpacing/>
        <w:rPr>
          <w:smallCaps/>
          <w:szCs w:val="24"/>
        </w:rPr>
      </w:pPr>
    </w:p>
    <w:p w14:paraId="4D3224C4" w14:textId="0840DCBB" w:rsidR="00105922" w:rsidRDefault="00105922" w:rsidP="00BE6C94">
      <w:pPr>
        <w:widowControl/>
        <w:autoSpaceDE/>
        <w:autoSpaceDN/>
        <w:spacing w:before="176"/>
        <w:ind w:right="420" w:firstLine="0"/>
        <w:contextualSpacing/>
        <w:rPr>
          <w:smallCaps/>
          <w:szCs w:val="24"/>
        </w:rPr>
      </w:pPr>
    </w:p>
    <w:p w14:paraId="3B60A76F" w14:textId="1AE1F421" w:rsidR="00105922" w:rsidRDefault="00105922" w:rsidP="00BE6C94">
      <w:pPr>
        <w:widowControl/>
        <w:autoSpaceDE/>
        <w:autoSpaceDN/>
        <w:spacing w:before="176"/>
        <w:ind w:right="420" w:firstLine="0"/>
        <w:contextualSpacing/>
        <w:rPr>
          <w:smallCaps/>
          <w:szCs w:val="24"/>
        </w:rPr>
      </w:pPr>
    </w:p>
    <w:p w14:paraId="695F4F62" w14:textId="7C1062F1" w:rsidR="00105922" w:rsidRDefault="00105922" w:rsidP="00BE6C94">
      <w:pPr>
        <w:widowControl/>
        <w:autoSpaceDE/>
        <w:autoSpaceDN/>
        <w:spacing w:before="176"/>
        <w:ind w:right="420" w:firstLine="0"/>
        <w:contextualSpacing/>
        <w:rPr>
          <w:smallCaps/>
          <w:szCs w:val="24"/>
        </w:rPr>
      </w:pPr>
    </w:p>
    <w:p w14:paraId="1BB0A001" w14:textId="37501DE0" w:rsidR="00105922" w:rsidRDefault="00105922" w:rsidP="00BE6C94">
      <w:pPr>
        <w:widowControl/>
        <w:autoSpaceDE/>
        <w:autoSpaceDN/>
        <w:spacing w:before="176"/>
        <w:ind w:right="420" w:firstLine="0"/>
        <w:contextualSpacing/>
        <w:rPr>
          <w:smallCaps/>
          <w:szCs w:val="24"/>
        </w:rPr>
      </w:pPr>
    </w:p>
    <w:p w14:paraId="1796EAB3" w14:textId="75642EEC" w:rsidR="00105922" w:rsidRDefault="00105922" w:rsidP="00BE6C94">
      <w:pPr>
        <w:widowControl/>
        <w:autoSpaceDE/>
        <w:autoSpaceDN/>
        <w:spacing w:before="176"/>
        <w:ind w:right="420" w:firstLine="0"/>
        <w:contextualSpacing/>
        <w:rPr>
          <w:smallCaps/>
          <w:szCs w:val="24"/>
        </w:rPr>
      </w:pPr>
    </w:p>
    <w:p w14:paraId="4AAEB57E" w14:textId="77777777" w:rsidR="00105922" w:rsidRPr="00B32F43" w:rsidRDefault="00105922" w:rsidP="00BE6C94">
      <w:pPr>
        <w:widowControl/>
        <w:autoSpaceDE/>
        <w:autoSpaceDN/>
        <w:spacing w:before="176"/>
        <w:ind w:right="420" w:firstLine="0"/>
        <w:contextualSpacing/>
        <w:rPr>
          <w:smallCaps/>
          <w:szCs w:val="24"/>
        </w:rPr>
      </w:pPr>
    </w:p>
    <w:p w14:paraId="4E8EE7F9" w14:textId="609CAEDE" w:rsidR="00745C08" w:rsidRPr="00B32F43" w:rsidRDefault="00745C08" w:rsidP="00FF4BA0">
      <w:pPr>
        <w:pStyle w:val="Titolo1"/>
      </w:pPr>
      <w:bookmarkStart w:id="14" w:name="_Toc215742631"/>
      <w:r w:rsidRPr="00B32F43">
        <w:t xml:space="preserve">2. Theoretical </w:t>
      </w:r>
      <w:r w:rsidR="00A241EB">
        <w:t>Fr</w:t>
      </w:r>
      <w:r w:rsidRPr="00B32F43">
        <w:t>amework</w:t>
      </w:r>
      <w:bookmarkEnd w:id="14"/>
    </w:p>
    <w:p w14:paraId="0F0B8C42" w14:textId="540F0791" w:rsidR="00B32F43" w:rsidRPr="00B32F43" w:rsidRDefault="00B32F43" w:rsidP="00FF4BA0">
      <w:pPr>
        <w:pStyle w:val="Titolo2"/>
        <w:ind w:firstLine="282"/>
      </w:pPr>
      <w:bookmarkStart w:id="15" w:name="_Toc215742632"/>
      <w:r w:rsidRPr="1530E6F3">
        <w:t>Introduction</w:t>
      </w:r>
      <w:bookmarkEnd w:id="15"/>
    </w:p>
    <w:p w14:paraId="61AF1930" w14:textId="05A4275E" w:rsidR="00745C08" w:rsidRPr="00B32F43" w:rsidRDefault="00745C08" w:rsidP="004F4D91">
      <w:pPr>
        <w:pStyle w:val="Paragrafoelenco"/>
        <w:spacing w:before="176"/>
        <w:ind w:left="283" w:right="420" w:firstLine="360"/>
        <w:rPr>
          <w:szCs w:val="24"/>
          <w:lang w:val="ru-RU"/>
        </w:rPr>
      </w:pPr>
      <w:r w:rsidRPr="00B32F43">
        <w:rPr>
          <w:szCs w:val="24"/>
        </w:rPr>
        <w:t xml:space="preserve">Although this dissertation focuses on Russia’s role in the Nagorno-Karabakh conflict, its primary inspiration comes from a place thousands of kilometers away: Yekaterinburg, Russia’s fourth-largest city, where I lived and studied Russian in 2018. Straddling the boundary between Europe and Asia, Yekaterinburg is a key junction on the Trans-Siberian Railway and holds historical significance as the site where Tsar Nicholas II and his family were executed in July 1918. During a visit to this city and a stroll along the Iset River promenade, it will be difficult not to notice the inscription on the roof of the Instrument-Making Plant building known as the "eternal question" (Vechny vopros/Вечный вопрос). The latter was created by street artist Timofey Radya in 2017 as part of the Ural Industrial Biennale and poses the following dilemma: "Who are we, where are we from, and where are we going?" </w:t>
      </w:r>
      <w:r w:rsidRPr="00B32F43">
        <w:rPr>
          <w:szCs w:val="24"/>
          <w:lang w:val="ru-RU"/>
        </w:rPr>
        <w:t>(</w:t>
      </w:r>
      <w:r w:rsidRPr="00B32F43">
        <w:rPr>
          <w:szCs w:val="24"/>
        </w:rPr>
        <w:t>Kto</w:t>
      </w:r>
      <w:r w:rsidRPr="00B32F43">
        <w:rPr>
          <w:szCs w:val="24"/>
          <w:lang w:val="ru-RU"/>
        </w:rPr>
        <w:t xml:space="preserve"> </w:t>
      </w:r>
      <w:r w:rsidRPr="00B32F43">
        <w:rPr>
          <w:szCs w:val="24"/>
        </w:rPr>
        <w:t>my</w:t>
      </w:r>
      <w:r w:rsidRPr="00B32F43">
        <w:rPr>
          <w:szCs w:val="24"/>
          <w:lang w:val="ru-RU"/>
        </w:rPr>
        <w:t xml:space="preserve">, </w:t>
      </w:r>
      <w:r w:rsidRPr="00B32F43">
        <w:rPr>
          <w:szCs w:val="24"/>
        </w:rPr>
        <w:t>otkuda</w:t>
      </w:r>
      <w:r w:rsidRPr="00B32F43">
        <w:rPr>
          <w:szCs w:val="24"/>
          <w:lang w:val="ru-RU"/>
        </w:rPr>
        <w:t xml:space="preserve">, </w:t>
      </w:r>
      <w:r w:rsidRPr="00B32F43">
        <w:rPr>
          <w:szCs w:val="24"/>
        </w:rPr>
        <w:t>kuda</w:t>
      </w:r>
      <w:r w:rsidRPr="00B32F43">
        <w:rPr>
          <w:szCs w:val="24"/>
          <w:lang w:val="ru-RU"/>
        </w:rPr>
        <w:t xml:space="preserve"> </w:t>
      </w:r>
      <w:r w:rsidRPr="00B32F43">
        <w:rPr>
          <w:szCs w:val="24"/>
        </w:rPr>
        <w:t>idem</w:t>
      </w:r>
      <w:r w:rsidRPr="00B32F43">
        <w:rPr>
          <w:szCs w:val="24"/>
          <w:lang w:val="ru-RU"/>
        </w:rPr>
        <w:t xml:space="preserve">?/Кто мы, откуда, куда идем?). </w:t>
      </w:r>
      <w:r w:rsidR="00391B8E">
        <w:rPr>
          <w:rStyle w:val="Rimandonotaapidipagina"/>
          <w:szCs w:val="24"/>
          <w:lang w:val="ru-RU"/>
        </w:rPr>
        <w:footnoteReference w:id="5"/>
      </w:r>
    </w:p>
    <w:p w14:paraId="58D85790" w14:textId="7E40C64D" w:rsidR="00745C08" w:rsidRPr="00B32F43" w:rsidRDefault="00745C08" w:rsidP="004F4D91">
      <w:pPr>
        <w:pStyle w:val="Paragrafoelenco"/>
        <w:spacing w:before="176"/>
        <w:ind w:left="283" w:right="420" w:firstLine="360"/>
        <w:rPr>
          <w:szCs w:val="24"/>
        </w:rPr>
      </w:pPr>
      <w:r w:rsidRPr="00B32F43">
        <w:rPr>
          <w:szCs w:val="24"/>
        </w:rPr>
        <w:t xml:space="preserve">Answering the Вечный вопрос has undoubtedly been central to the concerns of the fifteen republics that emerged from the collapse of the Soviet Union. This event raised a series of thorny dilemmas about the very identity of post-Soviet Russia, which in many ways had constituted the political core of both the Russian Empire and the Soviet Union. For example, from whom had Russians actually gained independence? Should post-Soviet Russia reclaim the Tsarist-era sense of Self dismantled by the 1917 Revolution? Should it bring back the Soviet Self? Should it embrace a Western-oriented Self, breaking free from its imperial and Soviet past? Should it forge a completely new and distinct Self? </w:t>
      </w:r>
    </w:p>
    <w:p w14:paraId="782D95BF" w14:textId="7A1DEC3A" w:rsidR="00745C08" w:rsidRPr="00B32F43" w:rsidRDefault="00745C08" w:rsidP="004F4D91">
      <w:pPr>
        <w:pStyle w:val="Paragrafoelenco"/>
        <w:spacing w:before="176"/>
        <w:ind w:left="283" w:right="420" w:firstLine="360"/>
        <w:rPr>
          <w:szCs w:val="24"/>
        </w:rPr>
      </w:pPr>
      <w:r w:rsidRPr="00B32F43">
        <w:rPr>
          <w:szCs w:val="24"/>
        </w:rPr>
        <w:t xml:space="preserve">Overall, the Kremlin's efforts to reconstruct a coherent vision of the Russian Self are what I refer to throughout this dissertation as a quest for ontological security, and they provide the foundation for my attempt to unpack Russia's prolonged engagement and abrupt disengagement in the Nagorno-Karabakh conflict beyond outcome-based analyses. Before analyzing in detail how Russia mobilized the distant image of Armenia’s protector as a significant means of addressing the Вечный вопрос and how anxieties over Yerevan’s recognition of this image shaped the terms of its politics of deference in the Armenian-Azerbaijani dispute, I first need to clarify the conceptual and analytical foundations of my study. </w:t>
      </w:r>
    </w:p>
    <w:p w14:paraId="5581A8C6" w14:textId="41F051F1" w:rsidR="00745C08" w:rsidRPr="00B32F43" w:rsidRDefault="00745C08" w:rsidP="004F4D91">
      <w:pPr>
        <w:pStyle w:val="Paragrafoelenco"/>
        <w:spacing w:before="176"/>
        <w:ind w:left="283" w:right="420" w:firstLine="360"/>
        <w:rPr>
          <w:szCs w:val="24"/>
        </w:rPr>
      </w:pPr>
      <w:r w:rsidRPr="00B32F43">
        <w:rPr>
          <w:szCs w:val="24"/>
        </w:rPr>
        <w:t xml:space="preserve">Guided by this mission, the present chapter has a threefold aim, each addressed in a dedicated section. First, it delineates the theoretical assumptions and key concepts—ontological security, memory politics, and honor—that underpin my study. Second, it introduces the concept of “politics of deference” as a means of connecting these notions. Third, it presents the hero-protector narrative as the analytical framework through which the politics of deference is examined in the empirical data. </w:t>
      </w:r>
    </w:p>
    <w:p w14:paraId="7D382FD9" w14:textId="69F8EAD1" w:rsidR="00745C08" w:rsidRPr="00B32F43" w:rsidRDefault="00745C08" w:rsidP="00BB0177">
      <w:pPr>
        <w:pStyle w:val="Titolo2"/>
        <w:ind w:firstLine="283"/>
      </w:pPr>
      <w:bookmarkStart w:id="16" w:name="_Toc215742633"/>
      <w:r w:rsidRPr="00B32F43">
        <w:t xml:space="preserve">2.1. Theoretical </w:t>
      </w:r>
      <w:r w:rsidR="00D729CA">
        <w:t>C</w:t>
      </w:r>
      <w:r w:rsidRPr="00B32F43">
        <w:t>oncepts</w:t>
      </w:r>
      <w:bookmarkEnd w:id="16"/>
    </w:p>
    <w:p w14:paraId="1739D90F" w14:textId="19C0933F" w:rsidR="00745C08" w:rsidRPr="00B32F43" w:rsidRDefault="00745C08" w:rsidP="00BB0177">
      <w:pPr>
        <w:pStyle w:val="Titolo3"/>
        <w:ind w:firstLine="283"/>
      </w:pPr>
      <w:bookmarkStart w:id="17" w:name="_Toc215742634"/>
      <w:r w:rsidRPr="00B32F43">
        <w:t xml:space="preserve">2.1.1. Ontological </w:t>
      </w:r>
      <w:r w:rsidR="00D729CA">
        <w:t>S</w:t>
      </w:r>
      <w:r w:rsidRPr="00B32F43">
        <w:t>ecurity in</w:t>
      </w:r>
      <w:r w:rsidR="00B32F43" w:rsidRPr="00B32F43">
        <w:t xml:space="preserve"> IR.</w:t>
      </w:r>
      <w:bookmarkEnd w:id="17"/>
    </w:p>
    <w:p w14:paraId="023B88FA" w14:textId="0C1F90CF" w:rsidR="00745C08" w:rsidRPr="00B32F43" w:rsidRDefault="00745C08" w:rsidP="004F4D91">
      <w:pPr>
        <w:pStyle w:val="Paragrafoelenco"/>
        <w:spacing w:before="176"/>
        <w:ind w:left="283" w:right="420" w:firstLine="360"/>
        <w:rPr>
          <w:szCs w:val="24"/>
        </w:rPr>
      </w:pPr>
      <w:r w:rsidRPr="39E0B0F2">
        <w:rPr>
          <w:szCs w:val="24"/>
        </w:rPr>
        <w:t xml:space="preserve">Often described as “security as/of being” (Giddens 1991; Steele 2008; Kinnvall 2017) or “security not of the body but of the </w:t>
      </w:r>
      <w:r w:rsidR="698731B3" w:rsidRPr="39E0B0F2">
        <w:rPr>
          <w:szCs w:val="24"/>
        </w:rPr>
        <w:t>S</w:t>
      </w:r>
      <w:r w:rsidRPr="39E0B0F2">
        <w:rPr>
          <w:szCs w:val="24"/>
        </w:rPr>
        <w:t>elf, the subjective sense of who one is” (Mitzen 2006</w:t>
      </w:r>
      <w:r w:rsidR="00516DEB" w:rsidRPr="39E0B0F2">
        <w:rPr>
          <w:szCs w:val="24"/>
        </w:rPr>
        <w:t>,</w:t>
      </w:r>
      <w:r w:rsidRPr="39E0B0F2">
        <w:rPr>
          <w:szCs w:val="24"/>
        </w:rPr>
        <w:t xml:space="preserve"> 344), ontological security is a notion rooted in philosophical and psychological existentialism. It generally refers to a social actor's need for a “sense of order and continuity in events” (Giddens 1991, 243), a “stable view of the </w:t>
      </w:r>
      <w:r w:rsidR="2A433E8C" w:rsidRPr="39E0B0F2">
        <w:rPr>
          <w:szCs w:val="24"/>
        </w:rPr>
        <w:t>S</w:t>
      </w:r>
      <w:r w:rsidRPr="39E0B0F2">
        <w:rPr>
          <w:szCs w:val="24"/>
        </w:rPr>
        <w:t xml:space="preserve">elf” (Flockhart 2016, 803), or a “healthy sense of </w:t>
      </w:r>
      <w:r w:rsidR="6BAC2EBC" w:rsidRPr="39E0B0F2">
        <w:rPr>
          <w:szCs w:val="24"/>
        </w:rPr>
        <w:t>S</w:t>
      </w:r>
      <w:r w:rsidRPr="39E0B0F2">
        <w:rPr>
          <w:szCs w:val="24"/>
        </w:rPr>
        <w:t xml:space="preserve">elf” (Ejdus 2020, 2). At its core, ontological security concerns how actors perceive their existence, find meaning in life, and manage anxiety (Gustafsson &amp; Krickel-Choi 2020). In contrast, ontological insecurity reflects “the deep, incapacitating state of not knowing which dangers to confront and which to ignore, i.e., how to get by in the world” (Mitzen 2006, 345). </w:t>
      </w:r>
    </w:p>
    <w:p w14:paraId="1BFAF08B" w14:textId="32C35191" w:rsidR="00745C08" w:rsidRPr="00B32F43" w:rsidRDefault="00745C08" w:rsidP="004F4D91">
      <w:pPr>
        <w:pStyle w:val="Paragrafoelenco"/>
        <w:spacing w:before="176"/>
        <w:ind w:left="283" w:right="420" w:firstLine="360"/>
        <w:rPr>
          <w:szCs w:val="24"/>
        </w:rPr>
      </w:pPr>
      <w:r w:rsidRPr="00B32F43">
        <w:rPr>
          <w:szCs w:val="24"/>
        </w:rPr>
        <w:t xml:space="preserve">It was Ronald David Laing, a Scottish psychiatrist and psychoanalyst who gained prominence for his work in the field of existential psychiatry and the treatment of individuals affected by schizophrenia, who first established the concept of ontological security in the late 1950s. In his book “The Divided Self: An Existential Study in Sanity and Madness” (1960|2010), he wrote that a basically ontologically secure person is: </w:t>
      </w:r>
    </w:p>
    <w:p w14:paraId="3D97A67F" w14:textId="18FC7EB4" w:rsidR="00745C08" w:rsidRPr="00B32F43" w:rsidRDefault="00745C08" w:rsidP="004F4D91">
      <w:pPr>
        <w:pStyle w:val="Paragrafoelenco"/>
        <w:spacing w:before="176"/>
        <w:ind w:left="283" w:right="420" w:firstLine="360"/>
        <w:jc w:val="center"/>
        <w:rPr>
          <w:sz w:val="20"/>
          <w:szCs w:val="20"/>
        </w:rPr>
      </w:pPr>
      <w:r w:rsidRPr="39E0B0F2">
        <w:rPr>
          <w:sz w:val="20"/>
          <w:szCs w:val="20"/>
        </w:rPr>
        <w:t xml:space="preserve">“A real, alive, whole, and, in a temporal sense, a continuous person. As such, he can live out into the world and meet </w:t>
      </w:r>
      <w:r w:rsidR="640764E3" w:rsidRPr="39E0B0F2">
        <w:rPr>
          <w:sz w:val="20"/>
          <w:szCs w:val="20"/>
        </w:rPr>
        <w:t>Other</w:t>
      </w:r>
      <w:r w:rsidRPr="39E0B0F2">
        <w:rPr>
          <w:sz w:val="20"/>
          <w:szCs w:val="20"/>
        </w:rPr>
        <w:t xml:space="preserve">s: a world and </w:t>
      </w:r>
      <w:r w:rsidR="2971470E" w:rsidRPr="39E0B0F2">
        <w:rPr>
          <w:sz w:val="20"/>
          <w:szCs w:val="20"/>
        </w:rPr>
        <w:t>Other</w:t>
      </w:r>
      <w:r w:rsidRPr="39E0B0F2">
        <w:rPr>
          <w:sz w:val="20"/>
          <w:szCs w:val="20"/>
        </w:rPr>
        <w:t>s experienced as equally real, alive, whole, and continuous. Such a basically ontologically secure person will encounter all the hazards of life, social, ethical, spiritual, and biological from a centrally firm sense of his own and other people’s reality and identity” (Laing 1960|2010, 39).</w:t>
      </w:r>
    </w:p>
    <w:p w14:paraId="5DE32EF2" w14:textId="341517C3" w:rsidR="00745C08" w:rsidRPr="00B32F43" w:rsidRDefault="00745C08" w:rsidP="004F4D91">
      <w:pPr>
        <w:pStyle w:val="Paragrafoelenco"/>
        <w:spacing w:before="176"/>
        <w:ind w:left="283" w:right="420" w:firstLine="360"/>
        <w:rPr>
          <w:szCs w:val="24"/>
        </w:rPr>
      </w:pPr>
      <w:r w:rsidRPr="1530E6F3">
        <w:rPr>
          <w:szCs w:val="24"/>
        </w:rPr>
        <w:t xml:space="preserve">On the other hand, an ontologically insecure individual is: </w:t>
      </w:r>
    </w:p>
    <w:p w14:paraId="0BEBBF07" w14:textId="18BB5C7D" w:rsidR="00745C08" w:rsidRPr="00B32F43" w:rsidRDefault="00745C08" w:rsidP="004F4D91">
      <w:pPr>
        <w:pStyle w:val="Paragrafoelenco"/>
        <w:spacing w:before="176"/>
        <w:ind w:left="283" w:right="420" w:firstLine="360"/>
        <w:jc w:val="center"/>
        <w:rPr>
          <w:sz w:val="20"/>
          <w:szCs w:val="20"/>
        </w:rPr>
      </w:pPr>
      <w:r w:rsidRPr="39E0B0F2">
        <w:rPr>
          <w:sz w:val="20"/>
          <w:szCs w:val="20"/>
        </w:rPr>
        <w:t xml:space="preserve">“More unreal than real; in a literal sense, more dead than alive; precariously differentiated from the rest of the world, so that his identity and autonomy are always in question. He may lack the experience of his own temporal continuity. He may not possess an over-ridding sense of personal consistency or cohesiveness. He may feel more insubstantial rather than substantial, and unable to assume that the stuff he is made of is genuine, good, valuable. And he may feel his </w:t>
      </w:r>
      <w:r w:rsidR="757AF3B1" w:rsidRPr="39E0B0F2">
        <w:rPr>
          <w:sz w:val="20"/>
          <w:szCs w:val="20"/>
        </w:rPr>
        <w:t>S</w:t>
      </w:r>
      <w:r w:rsidRPr="39E0B0F2">
        <w:rPr>
          <w:sz w:val="20"/>
          <w:szCs w:val="20"/>
        </w:rPr>
        <w:t>elf as partially divorced from his body.” (Laing 2010, 42)</w:t>
      </w:r>
    </w:p>
    <w:p w14:paraId="60806151" w14:textId="0C4D92F2" w:rsidR="00745C08" w:rsidRPr="00B32F43" w:rsidRDefault="00745C08" w:rsidP="004F4D91">
      <w:pPr>
        <w:pStyle w:val="Paragrafoelenco"/>
        <w:spacing w:before="176"/>
        <w:ind w:left="283" w:right="420" w:firstLine="360"/>
        <w:rPr>
          <w:szCs w:val="24"/>
        </w:rPr>
      </w:pPr>
      <w:r w:rsidRPr="39E0B0F2">
        <w:rPr>
          <w:szCs w:val="24"/>
        </w:rPr>
        <w:t xml:space="preserve">Based on these definitions, it can be argued that, in Laing’s view, a secure sense of </w:t>
      </w:r>
      <w:r w:rsidR="7C13C5FD" w:rsidRPr="39E0B0F2">
        <w:rPr>
          <w:szCs w:val="24"/>
        </w:rPr>
        <w:t>S</w:t>
      </w:r>
      <w:r w:rsidRPr="39E0B0F2">
        <w:rPr>
          <w:szCs w:val="24"/>
        </w:rPr>
        <w:t xml:space="preserve">elf relies on recognition and the alignment between an individual’s internally perceived identity and the identity ascribed by </w:t>
      </w:r>
      <w:r w:rsidR="6FE353BB" w:rsidRPr="39E0B0F2">
        <w:rPr>
          <w:szCs w:val="24"/>
        </w:rPr>
        <w:t>Other</w:t>
      </w:r>
      <w:r w:rsidRPr="39E0B0F2">
        <w:rPr>
          <w:szCs w:val="24"/>
        </w:rPr>
        <w:t xml:space="preserve">s (Laing 1990, 35–37). This alignment, in turn, affirms an individual's sense of </w:t>
      </w:r>
      <w:r w:rsidR="44974357" w:rsidRPr="39E0B0F2">
        <w:rPr>
          <w:szCs w:val="24"/>
        </w:rPr>
        <w:t>S</w:t>
      </w:r>
      <w:r w:rsidRPr="39E0B0F2">
        <w:rPr>
          <w:szCs w:val="24"/>
        </w:rPr>
        <w:t xml:space="preserve">elf and makes interactions with </w:t>
      </w:r>
      <w:r w:rsidR="21D4438D" w:rsidRPr="39E0B0F2">
        <w:rPr>
          <w:szCs w:val="24"/>
        </w:rPr>
        <w:t>Other</w:t>
      </w:r>
      <w:r w:rsidRPr="39E0B0F2">
        <w:rPr>
          <w:szCs w:val="24"/>
        </w:rPr>
        <w:t xml:space="preserve">s potentially fulfilling. Instead, for ontologically insecure individuals, every facet of life and every interaction carries the risk of threatening their very existence, leading to overwhelming anxiety about being entirely consumed by </w:t>
      </w:r>
      <w:r w:rsidR="47D092A3" w:rsidRPr="39E0B0F2">
        <w:rPr>
          <w:szCs w:val="24"/>
        </w:rPr>
        <w:t>Other</w:t>
      </w:r>
      <w:r w:rsidRPr="39E0B0F2">
        <w:rPr>
          <w:szCs w:val="24"/>
        </w:rPr>
        <w:t xml:space="preserve">s, collapsing under the weight of an external reality, or being reduced to a mere object devoid of subjectivity (Laing 2010, 42-47).  </w:t>
      </w:r>
    </w:p>
    <w:p w14:paraId="17AE6B83" w14:textId="357FD4CD" w:rsidR="00745C08" w:rsidRPr="00B32F43" w:rsidRDefault="6CB0517C" w:rsidP="004F4D91">
      <w:pPr>
        <w:pStyle w:val="Paragrafoelenco"/>
        <w:spacing w:before="176"/>
        <w:ind w:left="283" w:right="420" w:firstLine="360"/>
        <w:rPr>
          <w:szCs w:val="24"/>
        </w:rPr>
      </w:pPr>
      <w:r w:rsidRPr="39E0B0F2">
        <w:rPr>
          <w:szCs w:val="24"/>
        </w:rPr>
        <w:t>I</w:t>
      </w:r>
      <w:r w:rsidR="00745C08" w:rsidRPr="39E0B0F2">
        <w:rPr>
          <w:szCs w:val="24"/>
        </w:rPr>
        <w:t xml:space="preserve">t was through Anthony Giddens’ 1991 work, “Modernity and Self-Identity: Self and Society in the Late Modern Age,” that ontological security entered the realm of social sciences. Drawing on Laing’s work, Giddens illustrates the example of how, in early childhood, a child develops trust in its caregivers and, in turn, learns to trust itself. According to him, ontological security refers to a “person's fundamental sense of safety in the world and includes a basic trust of other people,” with this trust being “necessary in order for a person to maintain a sense of psychological well-being and avoid existential anxiety” (Giddens 1991, 37). It entails having, at both the unconscious and practical consciousness levels, “answers” to fundamental existential questions that all human beings inevitably confront (Giddens 1991, 47).  </w:t>
      </w:r>
    </w:p>
    <w:p w14:paraId="749C7F00" w14:textId="47AD1F1C" w:rsidR="00745C08" w:rsidRPr="00B32F43" w:rsidRDefault="00745C08" w:rsidP="004F4D91">
      <w:pPr>
        <w:pStyle w:val="Paragrafoelenco"/>
        <w:spacing w:before="176"/>
        <w:ind w:left="283" w:right="420" w:firstLine="360"/>
        <w:rPr>
          <w:szCs w:val="24"/>
        </w:rPr>
      </w:pPr>
      <w:r w:rsidRPr="39E0B0F2">
        <w:rPr>
          <w:szCs w:val="24"/>
        </w:rPr>
        <w:t xml:space="preserve">Giddens suggests that ontological security depends on a stable sense of self-identity, which arises when individuals understand their actions and the purpose of these actions. However, it should be kept in mind that self-identity consists of two aspects. While identity is not merely “something that we simply have” but “a social construct, formed and sustained via practices and relations with </w:t>
      </w:r>
      <w:r w:rsidR="778D54A0" w:rsidRPr="39E0B0F2">
        <w:rPr>
          <w:szCs w:val="24"/>
        </w:rPr>
        <w:t>Other</w:t>
      </w:r>
      <w:r w:rsidRPr="39E0B0F2">
        <w:rPr>
          <w:szCs w:val="24"/>
        </w:rPr>
        <w:t xml:space="preserve">s,” the </w:t>
      </w:r>
      <w:r w:rsidR="0214DA90" w:rsidRPr="39E0B0F2">
        <w:rPr>
          <w:szCs w:val="24"/>
        </w:rPr>
        <w:t>S</w:t>
      </w:r>
      <w:r w:rsidRPr="39E0B0F2">
        <w:rPr>
          <w:szCs w:val="24"/>
        </w:rPr>
        <w:t xml:space="preserve">elf is “reflexively understood by the person in terms of her or his biography” (Giddens 1991, 53). This is why Giddens emphasizes that, for being ontologically secure, individuals must maintain reflexively monitored routines and sustain their biographical narrative (Giddens 1991, 52–54). When this is not possible, they may experience "feelings of inadequacy or humiliation," also known as shame (Giddens 1991, 65). The latter can eventually lead to an ontological crisis. In fact, shame undermines trust both in oneself and in the outside world. It leads individuals to doubt their understanding of their identity and, consequently, their comprehension of the world around them (Giddens 1991, 66).  </w:t>
      </w:r>
    </w:p>
    <w:p w14:paraId="34486C78" w14:textId="248BFCC9" w:rsidR="00745C08" w:rsidRPr="00B32F43" w:rsidRDefault="00745C08" w:rsidP="004F4D91">
      <w:pPr>
        <w:pStyle w:val="Paragrafoelenco"/>
        <w:spacing w:before="176"/>
        <w:ind w:left="283" w:right="420" w:firstLine="360"/>
        <w:rPr>
          <w:szCs w:val="24"/>
        </w:rPr>
      </w:pPr>
      <w:r w:rsidRPr="00B32F43">
        <w:rPr>
          <w:szCs w:val="24"/>
        </w:rPr>
        <w:t xml:space="preserve">Shame can be regarded as a manifestation of anxiety, the principal emotion associated with ontological security (Rumelili 2015; Karp 2018; Ejdus 2020; Krickel-Choi 2022a). Giddens (1991, 36) defines it as “the loss of a sense of the very reality of things and of other persons.” Rumelili (2015, 2021) posits that anxiety underlies all other affective experiences and functions as a “constitutive condition” for IR. A significant premise in the ontological security literature is the distinction between anxiety and fear. The latter is considered a response to a specific, identifiable threat that can be recognized and addressed, whereas the former is a more generalized feeling with no identifiable cause (Krickel-Choi 2022a, 6). It can also be argued that fear is directed outward toward a threat from outside, while anxiety is felt inside (Rumelili 2015, 12).  </w:t>
      </w:r>
    </w:p>
    <w:p w14:paraId="2059CE94" w14:textId="451F536F" w:rsidR="00745C08" w:rsidRPr="00B32F43" w:rsidRDefault="00745C08" w:rsidP="004F4D91">
      <w:pPr>
        <w:pStyle w:val="Paragrafoelenco"/>
        <w:spacing w:before="176"/>
        <w:ind w:left="283" w:right="420" w:firstLine="360"/>
        <w:rPr>
          <w:szCs w:val="24"/>
        </w:rPr>
      </w:pPr>
      <w:r w:rsidRPr="39E0B0F2">
        <w:rPr>
          <w:szCs w:val="24"/>
        </w:rPr>
        <w:t>As noted by Ejdus (2018</w:t>
      </w:r>
      <w:r w:rsidR="18078336" w:rsidRPr="39E0B0F2">
        <w:rPr>
          <w:szCs w:val="24"/>
        </w:rPr>
        <w:t>,</w:t>
      </w:r>
      <w:r w:rsidRPr="39E0B0F2">
        <w:rPr>
          <w:szCs w:val="24"/>
        </w:rPr>
        <w:t xml:space="preserve"> 884), ontological security gained traction in the field of IR through two waves of scholarship. The first generation, represented by scholars such as Wendt (1994), Huysmans (1998), and McSweeney (1999), emerged in the 1990s and neither developed a formal theory nor empirically tested its explanatory potential. In contrast, the second generation, active a decade later, took more systematic steps toward theory building and empirical analysis (Ejdus 2018, 885). Key scholars such as Kinnvall (2004), Mitzen (2006), Steele (2008), Zarakol (2011), Lupovici (2012), Innes and Steele (2013), Gustafsson (2014), Rumelili (2015), Subotić (2016; 2018), and Krickel-Choi (2022a; 2022b) have contributed to developing the concept into a broader theoretical framework linked to security studies and international politics. </w:t>
      </w:r>
    </w:p>
    <w:p w14:paraId="0B4A657B" w14:textId="73B48D4F" w:rsidR="00745C08" w:rsidRPr="00B32F43" w:rsidRDefault="00745C08" w:rsidP="004F4D91">
      <w:pPr>
        <w:pStyle w:val="Paragrafoelenco"/>
        <w:spacing w:before="176"/>
        <w:ind w:left="283" w:right="420" w:firstLine="360"/>
        <w:rPr>
          <w:szCs w:val="24"/>
        </w:rPr>
      </w:pPr>
      <w:r w:rsidRPr="00B32F43">
        <w:rPr>
          <w:szCs w:val="24"/>
        </w:rPr>
        <w:t xml:space="preserve">As Von Essen and Danielson (2023, 5) aptly observe, the ontological security literature in IR has expanded significantly since its inception, resulting in a complex and ambiguous landscape shaped by diverse interpretations. This dissertation focuses on four significant debates within this field of study that warrant particular attention.  </w:t>
      </w:r>
    </w:p>
    <w:p w14:paraId="3AF82B97" w14:textId="10513502" w:rsidR="00745C08" w:rsidRPr="00B32F43" w:rsidRDefault="00745C08" w:rsidP="004F4D91">
      <w:pPr>
        <w:pStyle w:val="Paragrafoelenco"/>
        <w:spacing w:before="176"/>
        <w:ind w:left="283" w:right="420" w:firstLine="360"/>
        <w:rPr>
          <w:szCs w:val="24"/>
        </w:rPr>
      </w:pPr>
      <w:r w:rsidRPr="39E0B0F2">
        <w:rPr>
          <w:szCs w:val="24"/>
        </w:rPr>
        <w:t xml:space="preserve">The first concerns the fact that most IR scholars who examine ontological security have adapted the Laing-Giddens framework beyond the individual level to apply it to the state (Peoples and Vaughan-Williams 2020, 69). These authors assume that states, like individuals, behave as if they can experience and respond to emotions (Solomon 2018, 938). According to Steele (2008, 19), merging the individual and state levels of analysis is legitimized by the fact that "state agents seek to satisfy the self-identity needs of the states which they lead." Mitzen (2006, 344-345) concurs with him, asserting that these two levels are inherent and emotionally intertwined. </w:t>
      </w:r>
      <w:r w:rsidR="2E73A793" w:rsidRPr="39E0B0F2">
        <w:rPr>
          <w:szCs w:val="24"/>
        </w:rPr>
        <w:t>Indeed, the ontological security of a state plays a crucial role in guaranteeing</w:t>
      </w:r>
      <w:r w:rsidRPr="39E0B0F2">
        <w:rPr>
          <w:szCs w:val="24"/>
        </w:rPr>
        <w:t xml:space="preserve"> the ontological security of its citizens. </w:t>
      </w:r>
    </w:p>
    <w:p w14:paraId="5512EF96" w14:textId="382FCF76" w:rsidR="00745C08" w:rsidRPr="00B32F43" w:rsidRDefault="00745C08" w:rsidP="004F4D91">
      <w:pPr>
        <w:pStyle w:val="Paragrafoelenco"/>
        <w:spacing w:before="176"/>
        <w:ind w:left="283" w:right="420" w:firstLine="360"/>
        <w:rPr>
          <w:szCs w:val="24"/>
        </w:rPr>
      </w:pPr>
      <w:r w:rsidRPr="00B32F43">
        <w:rPr>
          <w:szCs w:val="24"/>
        </w:rPr>
        <w:t xml:space="preserve">However, other scholars have challenged this approach (Krolikowski 2008; Roe 2008; Croft 2012), arguing that by depicting the state as a monolith, ontological security scholarship in IR not only reinforces its reification (Croft 2012) but also marginalizes diverse voices within it (Delehanty &amp; Steele 2009). For instance, Krolikowski (2008, 111) asserts that conceptualizing the state as a person neglects essential elements of its role as a dynamic institution in influencing individuals' ontological security. Likewise, Roe (2008, 785) challenges the idea that because states provide ontological security to individuals, they must also possess a similar need for it. </w:t>
      </w:r>
    </w:p>
    <w:p w14:paraId="4BFCE1F5" w14:textId="0297791B" w:rsidR="00745C08" w:rsidRPr="00B32F43" w:rsidRDefault="00745C08" w:rsidP="004F4D91">
      <w:pPr>
        <w:pStyle w:val="Paragrafoelenco"/>
        <w:spacing w:before="176"/>
        <w:ind w:left="283" w:right="420" w:firstLine="360"/>
        <w:rPr>
          <w:szCs w:val="24"/>
        </w:rPr>
      </w:pPr>
      <w:r w:rsidRPr="00B32F43">
        <w:rPr>
          <w:szCs w:val="24"/>
        </w:rPr>
        <w:t xml:space="preserve">In my research, I also extend the individual’s ontological needs to the level of the state. I recognize that such scaling up is not without challenges, given that the concept of ontological security was originally developed to understand individual psychology (Laing 2010). Nevertheless, I agree with McSweeney (1999, 151), who contends that although states are not individuals, it remains essential for ontological and methodological reasons to treat them as if they were. After all, while states themselves cannot experience anxiety, their leaders, policies, and official discourses can. </w:t>
      </w:r>
    </w:p>
    <w:p w14:paraId="120D0B15" w14:textId="43AC112D" w:rsidR="00745C08" w:rsidRPr="00B32F43" w:rsidRDefault="00745C08" w:rsidP="004F4D91">
      <w:pPr>
        <w:pStyle w:val="Paragrafoelenco"/>
        <w:spacing w:before="176"/>
        <w:ind w:left="283" w:right="420" w:firstLine="360"/>
        <w:rPr>
          <w:szCs w:val="24"/>
        </w:rPr>
      </w:pPr>
      <w:r w:rsidRPr="39E0B0F2">
        <w:rPr>
          <w:szCs w:val="24"/>
        </w:rPr>
        <w:t xml:space="preserve">Furthermore, while states may remain the primary functional units of international </w:t>
      </w:r>
      <w:r w:rsidR="6A23F50C" w:rsidRPr="39E0B0F2">
        <w:rPr>
          <w:szCs w:val="24"/>
        </w:rPr>
        <w:t>politics</w:t>
      </w:r>
      <w:r w:rsidRPr="39E0B0F2">
        <w:rPr>
          <w:szCs w:val="24"/>
        </w:rPr>
        <w:t xml:space="preserve">, the evolution of media ecology and communication suggests that non-governmental voices can also be examined to assess a state’s ontological security (Hinck et al. 2021, 37). Russian media exemplifies this dynamic, as it functions not only as a channel of information but also as an instrument through which the Kremlin constructs and communicates state identity, mobilizes public support, and manages societal perceptions of threat and stability (Hinck et al. 2021, 92). </w:t>
      </w:r>
      <w:r w:rsidR="0AE08E92" w:rsidRPr="39E0B0F2">
        <w:rPr>
          <w:szCs w:val="24"/>
        </w:rPr>
        <w:t>Hinck et al. (2021, 94) assert that Russian media outlets influence narratives on both domestic and international fronts, thereby enhancing the state's ontological security practices and illustrating how anxieties and self-perceptions are shaped by the information environment.</w:t>
      </w:r>
      <w:r w:rsidRPr="39E0B0F2">
        <w:rPr>
          <w:szCs w:val="24"/>
        </w:rPr>
        <w:t xml:space="preserve"> In the methodological chapter, I explain the specific sources selected for analysis and justify their inclusion. </w:t>
      </w:r>
    </w:p>
    <w:p w14:paraId="4FD7CDC7" w14:textId="18C0E094" w:rsidR="00745C08" w:rsidRPr="00B32F43" w:rsidRDefault="00745C08" w:rsidP="004F4D91">
      <w:pPr>
        <w:pStyle w:val="Paragrafoelenco"/>
        <w:spacing w:before="176"/>
        <w:ind w:left="283" w:right="420" w:firstLine="360"/>
        <w:rPr>
          <w:szCs w:val="24"/>
        </w:rPr>
      </w:pPr>
      <w:r w:rsidRPr="1530E6F3">
        <w:rPr>
          <w:szCs w:val="24"/>
        </w:rPr>
        <w:t xml:space="preserve">The second debate revolves around what Zarakol (2011, 6) defines as the field’s "own version of the agent-structure problem." She introduces this discussion by posing the following question: “Are interactions and the international environment the main source of ontological anxiety for a state, or are the insecure interactions merely a consequence of the state’s own uncertainty about its own identity?” (Zarakol 2011, 6). This dilemma </w:t>
      </w:r>
      <w:r w:rsidR="772DBA90" w:rsidRPr="1530E6F3">
        <w:rPr>
          <w:szCs w:val="24"/>
        </w:rPr>
        <w:t xml:space="preserve">elucidates why certain scholars investigate how states alleviate anxiety through established routines (Mitzen 2006), while others </w:t>
      </w:r>
      <w:r w:rsidRPr="1530E6F3">
        <w:rPr>
          <w:szCs w:val="24"/>
        </w:rPr>
        <w:t xml:space="preserve">focus on autobiographical narratives (Steele 2008; Subotić 2016), external recognition (Zarakol 2011; Narozhna 2022), or a sense of belonging within a community (Bolton 2021). Overall, Zarakol identifies three distinct approaches to the agency/structure issue in the scholarship.  </w:t>
      </w:r>
    </w:p>
    <w:p w14:paraId="44F1BA60" w14:textId="308B0134" w:rsidR="00745C08" w:rsidRPr="00B32F43" w:rsidRDefault="00745C08" w:rsidP="004F4D91">
      <w:pPr>
        <w:pStyle w:val="Paragrafoelenco"/>
        <w:spacing w:before="176"/>
        <w:ind w:left="283" w:right="420" w:firstLine="360"/>
        <w:rPr>
          <w:szCs w:val="24"/>
        </w:rPr>
      </w:pPr>
      <w:r w:rsidRPr="39E0B0F2">
        <w:rPr>
          <w:szCs w:val="24"/>
        </w:rPr>
        <w:t xml:space="preserve">The first approach, primarily associated with Mitzen’s work (2006), can be described as “social,” since it views collective identity as externally shaped through routine interactions between states and their significant </w:t>
      </w:r>
      <w:r w:rsidR="70C86ED4" w:rsidRPr="39E0B0F2">
        <w:rPr>
          <w:szCs w:val="24"/>
        </w:rPr>
        <w:t>Other</w:t>
      </w:r>
      <w:r w:rsidRPr="39E0B0F2">
        <w:rPr>
          <w:szCs w:val="24"/>
        </w:rPr>
        <w:t xml:space="preserve">s (Mitzen 2006, 355–359). Drawing on Huysmans (1998) and McSweeney (1999), who claim that social actors seek consistency and stability in their interactions with </w:t>
      </w:r>
      <w:r w:rsidR="2DD2C0B6" w:rsidRPr="39E0B0F2">
        <w:rPr>
          <w:szCs w:val="24"/>
        </w:rPr>
        <w:t>Other</w:t>
      </w:r>
      <w:r w:rsidRPr="39E0B0F2">
        <w:rPr>
          <w:szCs w:val="24"/>
        </w:rPr>
        <w:t xml:space="preserve">s, Mitzen (2006) argues that anxiety arises when there is a lack of coherence between the roles a country assigns to itself and the roles other participants in the international system perceive it as having. For this reason, she focuses on routinized interactions between actors and the forms of recognition they entail, arguing that, by maintaining structured and recurring relationships with a significant </w:t>
      </w:r>
      <w:r w:rsidR="33A29FB1" w:rsidRPr="39E0B0F2">
        <w:rPr>
          <w:szCs w:val="24"/>
        </w:rPr>
        <w:t>Other</w:t>
      </w:r>
      <w:r w:rsidRPr="39E0B0F2">
        <w:rPr>
          <w:szCs w:val="24"/>
        </w:rPr>
        <w:t xml:space="preserve">, these actors shape and define their identities. Overall, within Mitzen's ontology, routines provide actors with “confident expectations, even if probabilistic, about the means-ends relationships that govern [the social actor’s] social life” (Mitzen 2006, 345). </w:t>
      </w:r>
    </w:p>
    <w:p w14:paraId="5FAA1647" w14:textId="045C5268" w:rsidR="00745C08" w:rsidRPr="00B32F43" w:rsidRDefault="00745C08" w:rsidP="004F4D91">
      <w:pPr>
        <w:pStyle w:val="Paragrafoelenco"/>
        <w:spacing w:before="176"/>
        <w:ind w:left="283" w:right="420" w:firstLine="360"/>
        <w:rPr>
          <w:szCs w:val="24"/>
        </w:rPr>
      </w:pPr>
      <w:r w:rsidRPr="39E0B0F2">
        <w:rPr>
          <w:szCs w:val="24"/>
        </w:rPr>
        <w:t xml:space="preserve">The second approach, which Zarakol terms “individualistic,” was introduced by Brent Steele, who examines how states preserve internal biographical continuity through the "dialectics of the Self" (Steele 2008, 32). Steele’s version of ontological security assumes that actors “have already constructed some sense of </w:t>
      </w:r>
      <w:r w:rsidR="624B3EC7" w:rsidRPr="39E0B0F2">
        <w:rPr>
          <w:szCs w:val="24"/>
        </w:rPr>
        <w:t>S</w:t>
      </w:r>
      <w:r w:rsidRPr="39E0B0F2">
        <w:rPr>
          <w:szCs w:val="24"/>
        </w:rPr>
        <w:t xml:space="preserve">elf and some understanding of </w:t>
      </w:r>
      <w:r w:rsidR="0F4516FF" w:rsidRPr="39E0B0F2">
        <w:rPr>
          <w:szCs w:val="24"/>
        </w:rPr>
        <w:t>Other</w:t>
      </w:r>
      <w:r w:rsidRPr="39E0B0F2">
        <w:rPr>
          <w:szCs w:val="24"/>
        </w:rPr>
        <w:t xml:space="preserve">s prior to contact” (Inayatullah </w:t>
      </w:r>
      <w:r w:rsidR="11C7E461" w:rsidRPr="39E0B0F2">
        <w:rPr>
          <w:szCs w:val="24"/>
        </w:rPr>
        <w:t xml:space="preserve">&amp; </w:t>
      </w:r>
      <w:r w:rsidRPr="39E0B0F2">
        <w:rPr>
          <w:szCs w:val="24"/>
        </w:rPr>
        <w:t xml:space="preserve">Blaney 1996, 73). In fact, Steele (2008) argues that states are primarily driven by the need to avoid situations that evoke shame, which arises when they perceive a discrepancy between their actions on the international stage and their autobiographical narrative.  </w:t>
      </w:r>
    </w:p>
    <w:p w14:paraId="09049C04" w14:textId="65306EDE" w:rsidR="00745C08" w:rsidRPr="00B32F43" w:rsidRDefault="00745C08" w:rsidP="004F4D91">
      <w:pPr>
        <w:pStyle w:val="Paragrafoelenco"/>
        <w:spacing w:before="176"/>
        <w:ind w:left="283" w:right="420" w:firstLine="360"/>
        <w:rPr>
          <w:szCs w:val="24"/>
        </w:rPr>
      </w:pPr>
      <w:r w:rsidRPr="39E0B0F2">
        <w:rPr>
          <w:szCs w:val="24"/>
        </w:rPr>
        <w:t xml:space="preserve">A third, middle-ground approach, identified by Zarakol, challenges the notion that either a completely intersubjective perspective or one that focuses solely on the reflexive construction of self-identity provides a complete understanding of how social actors address their self-identity concerns. Thus, scholars who support this approach argue that a strong sense of ontological security arises from the integration of the monological and dialogical </w:t>
      </w:r>
      <w:r w:rsidR="356EAA97" w:rsidRPr="39E0B0F2">
        <w:rPr>
          <w:szCs w:val="24"/>
        </w:rPr>
        <w:t>S</w:t>
      </w:r>
      <w:r w:rsidRPr="39E0B0F2">
        <w:rPr>
          <w:szCs w:val="24"/>
        </w:rPr>
        <w:t xml:space="preserve">elf (Kinvall 2004; Zarakol 2011; Narozhna 2022).  </w:t>
      </w:r>
    </w:p>
    <w:p w14:paraId="4A8D17CF" w14:textId="2B3DA568" w:rsidR="00745C08" w:rsidRPr="00B32F43" w:rsidRDefault="00745C08" w:rsidP="004F4D91">
      <w:pPr>
        <w:pStyle w:val="Paragrafoelenco"/>
        <w:spacing w:before="176"/>
        <w:ind w:left="283" w:right="420" w:firstLine="360"/>
        <w:rPr>
          <w:szCs w:val="24"/>
        </w:rPr>
      </w:pPr>
      <w:r w:rsidRPr="39E0B0F2">
        <w:rPr>
          <w:szCs w:val="24"/>
        </w:rPr>
        <w:t>As Kinnvall (2004, 749) writes, “internalized self-notions can never be separated from Self/Other representations and are always responsive to new interpersonal relationships.” Rumelili (2013, 66) argues that the pursuit of ontological security in relation to the Other operates alongside its internal counterpart,</w:t>
      </w:r>
      <w:r w:rsidR="0C67BAAD" w:rsidRPr="39E0B0F2">
        <w:rPr>
          <w:szCs w:val="24"/>
        </w:rPr>
        <w:t xml:space="preserve"> </w:t>
      </w:r>
      <w:r w:rsidRPr="39E0B0F2">
        <w:rPr>
          <w:szCs w:val="24"/>
        </w:rPr>
        <w:t>with both shaped by processes of securitization and de-securitization</w:t>
      </w:r>
      <w:r w:rsidR="001A7DBD">
        <w:rPr>
          <w:szCs w:val="24"/>
        </w:rPr>
        <w:t>.</w:t>
      </w:r>
      <w:r w:rsidR="00391B8E">
        <w:rPr>
          <w:rStyle w:val="Rimandonotaapidipagina"/>
          <w:szCs w:val="24"/>
        </w:rPr>
        <w:footnoteReference w:id="6"/>
      </w:r>
      <w:r w:rsidRPr="39E0B0F2">
        <w:rPr>
          <w:szCs w:val="24"/>
        </w:rPr>
        <w:t xml:space="preserve"> While securitization of the Other reinforces internal stability by suppressing alternative identities, de-securitization risks exposing the inherent fragility and contradictions within self-narratives. Consequently, maintaining or restoring ontological security during securitization cannot rely solely on internal self-(re)definition but requires a reconfiguration of the foundational Self/Other relationship (Rumelili 2013, 68).  </w:t>
      </w:r>
    </w:p>
    <w:p w14:paraId="009D6DDB" w14:textId="23D45D15" w:rsidR="00745C08" w:rsidRPr="00B32F43" w:rsidRDefault="00745C08" w:rsidP="004F4D91">
      <w:pPr>
        <w:pStyle w:val="Paragrafoelenco"/>
        <w:spacing w:before="176"/>
        <w:ind w:left="283" w:right="420" w:firstLine="360"/>
        <w:rPr>
          <w:szCs w:val="24"/>
        </w:rPr>
      </w:pPr>
      <w:r w:rsidRPr="39E0B0F2">
        <w:rPr>
          <w:szCs w:val="24"/>
        </w:rPr>
        <w:t>Some of the scholars advocating a “social” and “middle-ground” approach to ontological security argue that while conflicts may appear to threaten a state’s physical security, they can also reinforce its ontological security (Mitzen 2006; Rumelili 2015; Kinnvall &amp; Mitzen 2018; Kim &amp; Morrow 2024). According to these authors, engaging in conflict helps states manage existential anxieties by identifying specific threats, drawing clear distinctions between allies and enemies, and reinforcing moral frameworks centered on survival (Rumelili 2015, 13).  Rumelili (2015)</w:t>
      </w:r>
      <w:r w:rsidR="71A1EC7E" w:rsidRPr="39E0B0F2">
        <w:rPr>
          <w:szCs w:val="24"/>
        </w:rPr>
        <w:t xml:space="preserve">, for instance, </w:t>
      </w:r>
      <w:r w:rsidRPr="39E0B0F2">
        <w:rPr>
          <w:szCs w:val="24"/>
        </w:rPr>
        <w:t xml:space="preserve">argues that for states accustomed to prolonged conflicts, such struggles may undermine their physical security but simultaneously provide ontological security by reinforcing familiar routines. Consequently, the transition to peace can be destabilizing, as it disrupts these entrenched patterns and challenges a state's self-image, which has been shaped in contrast to a perceived adversary. </w:t>
      </w:r>
    </w:p>
    <w:p w14:paraId="43B3F917" w14:textId="6877A0BD" w:rsidR="00745C08" w:rsidRPr="00B32F43" w:rsidRDefault="00745C08" w:rsidP="004F4D91">
      <w:pPr>
        <w:pStyle w:val="Paragrafoelenco"/>
        <w:spacing w:before="176"/>
        <w:ind w:left="283" w:right="420" w:firstLine="360"/>
        <w:rPr>
          <w:szCs w:val="24"/>
        </w:rPr>
      </w:pPr>
      <w:r w:rsidRPr="39E0B0F2">
        <w:rPr>
          <w:szCs w:val="24"/>
        </w:rPr>
        <w:t xml:space="preserve">In both “social” and “middle-ground” approaches, the notion of “recognition” plays a critical role. Ringmar (2002, 119) asserts that “the desire for recognition is a desire unlike all others…. The desire for recognition is the core human desire.” Recognition itself can take legal, political, or moral forms (Daase et al. 2015, 16). Hegel, who first introduced this notion into Western philosophy, viewed recognition as a struggle between two self-conscious beings, each attempting to impose its subjectivity onto the Other (Burns &amp; Thompson 2013, 3). This confrontation takes the form of a life-or-death battle, where each party seeks to objectify the </w:t>
      </w:r>
      <w:r w:rsidR="3E48A7B4" w:rsidRPr="39E0B0F2">
        <w:rPr>
          <w:szCs w:val="24"/>
        </w:rPr>
        <w:t>Other</w:t>
      </w:r>
      <w:r w:rsidRPr="39E0B0F2">
        <w:rPr>
          <w:szCs w:val="24"/>
        </w:rPr>
        <w:t xml:space="preserve"> while preserving its own subjectivity. Unlike legal recognition, which typically involves equality between states based on the principle of sovereignty, Hegel’s notion of recognition is more conflictual. Here, equality emerges only momentarily when both parties acknowledge their mutual recognition as adversaries.  </w:t>
      </w:r>
    </w:p>
    <w:p w14:paraId="29BD591D" w14:textId="59805A4F" w:rsidR="00745C08" w:rsidRPr="00B32F43" w:rsidRDefault="00745C08" w:rsidP="004F4D91">
      <w:pPr>
        <w:pStyle w:val="Paragrafoelenco"/>
        <w:spacing w:before="176"/>
        <w:ind w:left="283" w:right="420" w:firstLine="360"/>
        <w:rPr>
          <w:szCs w:val="24"/>
        </w:rPr>
      </w:pPr>
      <w:r w:rsidRPr="39E0B0F2">
        <w:rPr>
          <w:szCs w:val="24"/>
        </w:rPr>
        <w:t xml:space="preserve">Within this process, recognizing the Other becomes the means through which the Self is also recognized (Hegel et al. 2013). </w:t>
      </w:r>
      <w:r w:rsidR="14F952B9" w:rsidRPr="39E0B0F2">
        <w:rPr>
          <w:szCs w:val="24"/>
        </w:rPr>
        <w:t>Utilizing Hegel’s philosophy, scholars including Fukuyama (1992), Wendt (2003), Haacke (2005), Ringmar (2011), Wolf (2011; 2016), and Honneth (2013) have conceptualized struggles for recognition as a core element of International Relations (IR).</w:t>
      </w:r>
      <w:r w:rsidRPr="39E0B0F2">
        <w:rPr>
          <w:szCs w:val="24"/>
        </w:rPr>
        <w:t xml:space="preserve"> For example, Haacke (2005) argues that struggles for recognition are fundamental to social relations. He asserts that social structures typically maintain stability when recognition demands are satisfied (Haacke 2005, 187). Curanović (2021, 86-87) contends that a country seeks alignment between its actual capabilities, self-image, and external recognition. It finds stability when its material power secures the level of recognition it expects from </w:t>
      </w:r>
      <w:r w:rsidR="438DC566" w:rsidRPr="39E0B0F2">
        <w:rPr>
          <w:szCs w:val="24"/>
        </w:rPr>
        <w:t>Other</w:t>
      </w:r>
      <w:r w:rsidRPr="39E0B0F2">
        <w:rPr>
          <w:szCs w:val="24"/>
        </w:rPr>
        <w:t xml:space="preserve">s. This sense of coherence reinforces its ontological security and contributes to maintaining stability in the international order.  </w:t>
      </w:r>
    </w:p>
    <w:p w14:paraId="7434CA68" w14:textId="7FF2E51E" w:rsidR="00745C08" w:rsidRPr="00B32F43" w:rsidRDefault="00745C08" w:rsidP="004F4D91">
      <w:pPr>
        <w:pStyle w:val="Paragrafoelenco"/>
        <w:spacing w:before="176"/>
        <w:ind w:left="283" w:right="420" w:firstLine="360"/>
        <w:rPr>
          <w:szCs w:val="24"/>
        </w:rPr>
      </w:pPr>
      <w:r w:rsidRPr="39E0B0F2">
        <w:rPr>
          <w:szCs w:val="24"/>
        </w:rPr>
        <w:t xml:space="preserve">On the other hand, as Wolf (2011) highlights, experiencing misrecognition can undermine a state's self-perception, potentially leading to adjustments in aspects of its identity that hinder recognition by </w:t>
      </w:r>
      <w:r w:rsidR="775F791C" w:rsidRPr="39E0B0F2">
        <w:rPr>
          <w:szCs w:val="24"/>
        </w:rPr>
        <w:t>Other</w:t>
      </w:r>
      <w:r w:rsidRPr="39E0B0F2">
        <w:rPr>
          <w:szCs w:val="24"/>
        </w:rPr>
        <w:t xml:space="preserve">s. Gustafsson (2014) applies the concept of "perceived misrecognition" to Sino-Japanese relations, arguing that China refuses to acknowledge Japan's identity as a peaceful state, while Japan fails to recognize China's identity as a victim of past Japanese aggression. This mutual denial of recognition, shaped by each state's self-perception, not only deepens tensions between Tokyo and Beijing. It also reinforces their respective self-identities. Wolf (2011, 127) also argues that, in response to misrecognition, states may begin to question the criteria that define status within the group they seek to join.  </w:t>
      </w:r>
    </w:p>
    <w:p w14:paraId="1F588F85" w14:textId="634FB6DF" w:rsidR="00745C08" w:rsidRPr="00B32F43" w:rsidRDefault="00745C08" w:rsidP="004F4D91">
      <w:pPr>
        <w:pStyle w:val="Paragrafoelenco"/>
        <w:spacing w:before="176"/>
        <w:ind w:left="283" w:right="420" w:firstLine="360"/>
        <w:rPr>
          <w:szCs w:val="24"/>
        </w:rPr>
      </w:pPr>
      <w:r w:rsidRPr="39E0B0F2">
        <w:rPr>
          <w:szCs w:val="24"/>
        </w:rPr>
        <w:t>For e</w:t>
      </w:r>
      <w:r w:rsidR="1071EB17" w:rsidRPr="39E0B0F2">
        <w:rPr>
          <w:szCs w:val="24"/>
        </w:rPr>
        <w:t>xample</w:t>
      </w:r>
      <w:r w:rsidRPr="39E0B0F2">
        <w:rPr>
          <w:szCs w:val="24"/>
        </w:rPr>
        <w:t xml:space="preserve">, Zarakol (2011, 7) examines how the European powers' denial of recognition and use of stigmatization undermined the ontological security of the Ottoman Empire and Japan. Ringmar (2002) suggests that when faced with misrecognition, states tend to respond in one of three ways. They may adopt external narratives and redefine their identity, often following major setbacks like war. They may preserve their self-perception while pursuing gradual reforms to reshape external perceptions. Alternatively, they may uphold their original narrative and attempt to persuade </w:t>
      </w:r>
      <w:r w:rsidR="31883DD4" w:rsidRPr="39E0B0F2">
        <w:rPr>
          <w:szCs w:val="24"/>
        </w:rPr>
        <w:t>Other</w:t>
      </w:r>
      <w:r w:rsidRPr="39E0B0F2">
        <w:rPr>
          <w:szCs w:val="24"/>
        </w:rPr>
        <w:t xml:space="preserve">s or impose it through various means.  </w:t>
      </w:r>
    </w:p>
    <w:p w14:paraId="000C3EA2" w14:textId="269A2D7E" w:rsidR="00745C08" w:rsidRPr="00B32F43" w:rsidRDefault="00745C08" w:rsidP="004F4D91">
      <w:pPr>
        <w:pStyle w:val="Paragrafoelenco"/>
        <w:spacing w:before="176"/>
        <w:ind w:left="283" w:right="420" w:firstLine="360"/>
        <w:rPr>
          <w:szCs w:val="24"/>
        </w:rPr>
      </w:pPr>
      <w:r w:rsidRPr="00B32F43">
        <w:rPr>
          <w:szCs w:val="24"/>
        </w:rPr>
        <w:t xml:space="preserve">Similarly, Narozhna (2021) argues that since the state is responsible for negotiating external recognition of its biographically narrated collective self-image and fostering ontological security for individuals, groups, and society as a whole, misrecognition can lead to ontological insecurity. As a result, she (Narozhna 2021, 82) contends that persistent misrecognition forces local elites to make three interrelated decisions. The first concerns the extent of state compliance with international recognition demands; the second relates to the state's autonomy in shaping its collective self-image; and the third involves the foreign policy strategies used to address misrecognition and mitigate collective ontological insecurity. </w:t>
      </w:r>
    </w:p>
    <w:p w14:paraId="4A8E021C" w14:textId="051A4B63" w:rsidR="00745C08" w:rsidRPr="00B32F43" w:rsidRDefault="00745C08" w:rsidP="004F4D91">
      <w:pPr>
        <w:pStyle w:val="Paragrafoelenco"/>
        <w:spacing w:before="176"/>
        <w:ind w:left="283" w:right="420" w:firstLine="360"/>
        <w:rPr>
          <w:szCs w:val="24"/>
        </w:rPr>
      </w:pPr>
      <w:r w:rsidRPr="39E0B0F2">
        <w:rPr>
          <w:szCs w:val="24"/>
        </w:rPr>
        <w:t xml:space="preserve">In approaching the “agent–structure” problem within Russia’s politics of deference, the centrality of Armenia allows me to set aside the individualistic approach, although I recognize its value in illustrating how a social actor seeks to maintain a coherent biographical narrative. Similarly, the </w:t>
      </w:r>
      <w:r w:rsidR="7191C13E" w:rsidRPr="39E0B0F2">
        <w:rPr>
          <w:szCs w:val="24"/>
        </w:rPr>
        <w:t xml:space="preserve">social approach overlooks how an actor may be driven by the need to validate its self-identity in the eyes of a significant </w:t>
      </w:r>
      <w:r w:rsidR="137D0D66" w:rsidRPr="39E0B0F2">
        <w:rPr>
          <w:szCs w:val="24"/>
        </w:rPr>
        <w:t>Other</w:t>
      </w:r>
      <w:r w:rsidR="7191C13E" w:rsidRPr="39E0B0F2">
        <w:rPr>
          <w:szCs w:val="24"/>
        </w:rPr>
        <w:t>, rather than focusing on sustaining routinized and predictable relations</w:t>
      </w:r>
      <w:r w:rsidRPr="39E0B0F2">
        <w:rPr>
          <w:szCs w:val="24"/>
        </w:rPr>
        <w:t xml:space="preserve">. This aspect will be further elaborated in this chapter when introducing the concept of honor. For now, it is important to note that Russia’s ontological security depends neither on preserving coherence within its biographical narrative in isolation nor on maintaining routinized and predictable relations with its significant </w:t>
      </w:r>
      <w:r w:rsidR="75D77074" w:rsidRPr="39E0B0F2">
        <w:rPr>
          <w:szCs w:val="24"/>
        </w:rPr>
        <w:t>Other</w:t>
      </w:r>
      <w:r w:rsidRPr="39E0B0F2">
        <w:rPr>
          <w:szCs w:val="24"/>
        </w:rPr>
        <w:t xml:space="preserve">. Rather, it </w:t>
      </w:r>
      <w:r w:rsidR="439D343D" w:rsidRPr="39E0B0F2">
        <w:rPr>
          <w:szCs w:val="24"/>
        </w:rPr>
        <w:t>depends on how Russia interprets the recognition or misrecognition of its autobiographical narrative by the significant Other, who plays</w:t>
      </w:r>
      <w:r w:rsidRPr="39E0B0F2">
        <w:rPr>
          <w:szCs w:val="24"/>
        </w:rPr>
        <w:t xml:space="preserve"> a crucial role in the actor’s biographical narrative as a referent object (Kinvall 2004). Accordingly, my understanding of Russia’s ontological security aligns with what Zarakol describes as a middle-ground perspective. </w:t>
      </w:r>
    </w:p>
    <w:p w14:paraId="58B51F1A" w14:textId="3BFB8347" w:rsidR="00745C08" w:rsidRPr="00B32F43" w:rsidRDefault="00745C08" w:rsidP="004F4D91">
      <w:pPr>
        <w:pStyle w:val="Paragrafoelenco"/>
        <w:spacing w:before="176"/>
        <w:ind w:left="283" w:right="420" w:firstLine="360"/>
        <w:rPr>
          <w:szCs w:val="24"/>
        </w:rPr>
      </w:pPr>
      <w:r w:rsidRPr="00B32F43">
        <w:rPr>
          <w:szCs w:val="24"/>
        </w:rPr>
        <w:t xml:space="preserve">The third debate critiques ontological security scholarship in IR for its excessive focus on continuity, highlighting how existing research often prioritizes the ways states or other agents seek to preserve their identity while neglecting the dimension of change (Flockhart 2016; Browning &amp; Joenniemi 2017; Gustafsson &amp; Krickel-Choi 2020). Building on Gidden’s assumption that ontological security refers to the “confidence most human beings have in the continuity of their self-identity and the constancy of the surrounding social and material environments of action” (Giddens 1991, 53), these scholars argue that, to maintain their sense of ontological security, states look for predictability and stability (Wendt 1994; Huysmans 1998; McSweeney 1999). </w:t>
      </w:r>
    </w:p>
    <w:p w14:paraId="6F6B107A" w14:textId="26D3A1E6" w:rsidR="00745C08" w:rsidRPr="00B32F43" w:rsidRDefault="00745C08" w:rsidP="004F4D91">
      <w:pPr>
        <w:pStyle w:val="Paragrafoelenco"/>
        <w:spacing w:before="176"/>
        <w:ind w:left="283" w:right="420" w:firstLine="360"/>
        <w:rPr>
          <w:szCs w:val="24"/>
        </w:rPr>
      </w:pPr>
      <w:r w:rsidRPr="00B32F43">
        <w:rPr>
          <w:szCs w:val="24"/>
        </w:rPr>
        <w:t xml:space="preserve">Nevertheless, as Subotić (2018, 298) notes, “while this stability is desirable, it is, however, fleeting.” Prioritizing continuity over change results in an overall lack of appreciation for how states act in critical situations. Giddens (1984, 61) defines the latter as “circumstances of a radical disjuncture of an unpredictable kind which affect substantial numbers of individuals.” Steele (2008, 12) contends that critical situations are unpredictable events that impact many individuals, surprise state agents, and disrupt their self-identities. They are not objective realities but rather social constructions that arise through the interpretation process of policy makers. Ejdus (2018, 893) addresses them as “questions about the unreliability of the international order, the finitude of polities, the impermanence of relationships, and the inconsistency of collective autobiographies.” </w:t>
      </w:r>
    </w:p>
    <w:p w14:paraId="0E3633A4" w14:textId="25E45BE1" w:rsidR="00745C08" w:rsidRPr="00B32F43" w:rsidRDefault="00745C08" w:rsidP="004F4D91">
      <w:pPr>
        <w:pStyle w:val="Paragrafoelenco"/>
        <w:spacing w:before="176"/>
        <w:ind w:left="283" w:right="420" w:firstLine="360"/>
        <w:rPr>
          <w:szCs w:val="24"/>
        </w:rPr>
      </w:pPr>
      <w:r w:rsidRPr="39E0B0F2">
        <w:rPr>
          <w:szCs w:val="24"/>
        </w:rPr>
        <w:t xml:space="preserve"> According to Rumelili (2015, 11), critical situations represent those “faithful moments” when “anxieties can no longer be controlled” and “ontological security comes under immediate strain.” If Subotić (2018, 298) argues that critical situations “produce questioning of one’s self-identity, one’s view of self, and most importantly, one’s autobiography and biographical narrative,” Darwich (2016</w:t>
      </w:r>
      <w:r w:rsidR="49398D52" w:rsidRPr="39E0B0F2">
        <w:rPr>
          <w:szCs w:val="24"/>
        </w:rPr>
        <w:t>,</w:t>
      </w:r>
      <w:r w:rsidRPr="39E0B0F2">
        <w:rPr>
          <w:szCs w:val="24"/>
        </w:rPr>
        <w:t xml:space="preserve"> 473) suggests that when self-identity is constructed in relation to a significant Other, external disruptions that alter the representation of the Other can give rise to critical situations, resulting in instability and insecurity for the </w:t>
      </w:r>
      <w:r w:rsidR="2A50F16A" w:rsidRPr="39E0B0F2">
        <w:rPr>
          <w:szCs w:val="24"/>
        </w:rPr>
        <w:t>S</w:t>
      </w:r>
      <w:r w:rsidRPr="39E0B0F2">
        <w:rPr>
          <w:szCs w:val="24"/>
        </w:rPr>
        <w:t xml:space="preserve">elf.  </w:t>
      </w:r>
    </w:p>
    <w:p w14:paraId="38224EBA" w14:textId="2B013473" w:rsidR="00745C08" w:rsidRPr="00B32F43" w:rsidRDefault="00745C08" w:rsidP="004F4D91">
      <w:pPr>
        <w:pStyle w:val="Paragrafoelenco"/>
        <w:spacing w:before="176"/>
        <w:ind w:left="283" w:right="420" w:firstLine="360"/>
        <w:rPr>
          <w:szCs w:val="24"/>
        </w:rPr>
      </w:pPr>
      <w:r w:rsidRPr="39E0B0F2">
        <w:rPr>
          <w:szCs w:val="24"/>
        </w:rPr>
        <w:t>A few scholars have highlighted how social agents take steps to alleviate the ontological insecurity stemming from critical situations (Lupovici 2012; Darwich 2016; Subotić 2016; Browning 2018; Ejdus 2018). For instance, Subotić (2016, 610</w:t>
      </w:r>
      <w:r w:rsidR="0D43F39D" w:rsidRPr="39E0B0F2">
        <w:rPr>
          <w:szCs w:val="24"/>
        </w:rPr>
        <w:t>) recognizes that narratives of ontological security encompass multiple threads or storylines in her examination of Serbia's foreign policy stance regarding the contested status of Kosovo</w:t>
      </w:r>
      <w:r w:rsidRPr="39E0B0F2">
        <w:rPr>
          <w:szCs w:val="24"/>
        </w:rPr>
        <w:t xml:space="preserve">. </w:t>
      </w:r>
      <w:r w:rsidR="01991866" w:rsidRPr="39E0B0F2">
        <w:rPr>
          <w:szCs w:val="24"/>
        </w:rPr>
        <w:t>Narratives</w:t>
      </w:r>
      <w:r w:rsidRPr="39E0B0F2">
        <w:rPr>
          <w:szCs w:val="24"/>
        </w:rPr>
        <w:t xml:space="preserve"> can be employed during crises or key moments to preserve a sense of “autobiographical continuity” when substantial policy changes might undermine the identity of the state. Darwich (2016) posits that, when facing shame and misrecognition, social actors often seek to restore a stable sense of self-identity through two main mechanisms: counter-framing to demonize the Other and redefining the Self-Other boundary. </w:t>
      </w:r>
    </w:p>
    <w:p w14:paraId="1A875BFA" w14:textId="676EFB4D" w:rsidR="00745C08" w:rsidRPr="00B32F43" w:rsidRDefault="00745C08" w:rsidP="004F4D91">
      <w:pPr>
        <w:pStyle w:val="Paragrafoelenco"/>
        <w:spacing w:before="176"/>
        <w:ind w:left="283" w:right="420" w:firstLine="360"/>
        <w:rPr>
          <w:szCs w:val="24"/>
        </w:rPr>
      </w:pPr>
      <w:r w:rsidRPr="39E0B0F2">
        <w:rPr>
          <w:szCs w:val="24"/>
        </w:rPr>
        <w:t>This debate is essential for understanding how Russia responded to moments of crisis related to Armenia’s (mis)recognition of the hero-protector narrative throughout the Nagorno-Karabakh conflict. If the events of September 2023 embodied the characteristics of a critical situation in which Moscow’s actions no longer aligned with its self-ascribed role of protector, this dissertation argues that instances of ontological insecurity had already emerged at earlier moments, although in less visible ways. I will demonstrate that Russian actors can accommodate change by drawing on their interpretation of their country’s historical experience, even when its contemporary security practices diverge from the protector narrative. This process involves reworking the storylines underpinning its involvement in the Nagorno-Karabakh conflict.</w:t>
      </w:r>
    </w:p>
    <w:p w14:paraId="1927C613" w14:textId="66317BCB" w:rsidR="00745C08" w:rsidRPr="00B32F43" w:rsidRDefault="00745C08" w:rsidP="004F4D91">
      <w:pPr>
        <w:pStyle w:val="Paragrafoelenco"/>
        <w:spacing w:before="176"/>
        <w:ind w:left="283" w:right="420" w:firstLine="360"/>
        <w:rPr>
          <w:szCs w:val="24"/>
        </w:rPr>
      </w:pPr>
      <w:r w:rsidRPr="39E0B0F2">
        <w:rPr>
          <w:szCs w:val="24"/>
        </w:rPr>
        <w:t xml:space="preserve">The fourth and </w:t>
      </w:r>
      <w:r w:rsidR="78675FD9" w:rsidRPr="39E0B0F2">
        <w:rPr>
          <w:szCs w:val="24"/>
        </w:rPr>
        <w:t>final debate focuses on the interplay</w:t>
      </w:r>
      <w:r w:rsidRPr="39E0B0F2">
        <w:rPr>
          <w:szCs w:val="24"/>
        </w:rPr>
        <w:t xml:space="preserve"> between ontological and physical security. It is often argued that ontological security, being "security as being" rather than "security as survival," draws its explanatory strength from its contrast with the traditional IR emphasis on physical security (Gustafsson &amp; Krickel-Choi 2020, 877). The central assumption of the realist mainstream of IR is that the primary goal of states is to achieve physical security, often defined as a matter of “security as survival.” As Waltz (1979, 91-92) puts it, “survival is a prerequisite to achieving any goals that states may have.”  </w:t>
      </w:r>
    </w:p>
    <w:p w14:paraId="156D72DD" w14:textId="2E520B77" w:rsidR="00745C08" w:rsidRPr="00B32F43" w:rsidRDefault="00745C08" w:rsidP="004F4D91">
      <w:pPr>
        <w:pStyle w:val="Paragrafoelenco"/>
        <w:spacing w:before="176"/>
        <w:ind w:left="283" w:right="420" w:firstLine="360"/>
        <w:rPr>
          <w:szCs w:val="24"/>
        </w:rPr>
      </w:pPr>
      <w:r w:rsidRPr="00B32F43">
        <w:rPr>
          <w:szCs w:val="24"/>
        </w:rPr>
        <w:t xml:space="preserve">Krickel-Choi (2021, 162-163) notes that, when ontological security was first introduced in IR, scholars initially focused on demonstrating its relevance in a field where physical security was deeply prioritized. This is mainly why ontological security emerged as a conceptually distinct form of security, with this dualism remaining a core foundation of many articles and scholarly works. Reconciling material and ontological security needs has been the subject of only a few contributions. For instance, some scholars have elaborated a version of ontological (in)security based on the concept of home, described as both a social and material environment that fosters ontological security by serving as a stable setting for daily routines and a place where individuals feel in control of their lives, free from external scrutiny (Kinnvall 2004; Mitzen 2006; Ejdus 2017). </w:t>
      </w:r>
    </w:p>
    <w:p w14:paraId="7585FE2A" w14:textId="41BB17A0" w:rsidR="00745C08" w:rsidRPr="00B32F43" w:rsidRDefault="00745C08" w:rsidP="004F4D91">
      <w:pPr>
        <w:pStyle w:val="Paragrafoelenco"/>
        <w:spacing w:before="176"/>
        <w:ind w:left="283" w:right="420" w:firstLine="360"/>
        <w:rPr>
          <w:szCs w:val="24"/>
        </w:rPr>
      </w:pPr>
      <w:r w:rsidRPr="00B32F43">
        <w:rPr>
          <w:szCs w:val="24"/>
        </w:rPr>
        <w:t xml:space="preserve">In the case of Russia, as the following chapter will demonstrate, physical security cannot be analyzed independently of ontological security, nor vice versa. Historically, the absence of natural borders across its vast territory exposed Russia to repeated invasions and incursions. These experiences gradually transformed both internal and external threats into enduring patterns of collective anxiety. One consequence of this has been a widely shared conviction that only a strong state, led by a strong leader, can ensure security (Tsygankov 2014a; 2014b). </w:t>
      </w:r>
    </w:p>
    <w:p w14:paraId="02287730" w14:textId="14E5AF11" w:rsidR="00745C08" w:rsidRPr="00B32F43" w:rsidRDefault="00745C08" w:rsidP="004F4D91">
      <w:pPr>
        <w:pStyle w:val="Paragrafoelenco"/>
        <w:spacing w:before="176"/>
        <w:ind w:left="283" w:right="420" w:firstLine="360"/>
        <w:rPr>
          <w:szCs w:val="24"/>
        </w:rPr>
      </w:pPr>
      <w:r w:rsidRPr="39E0B0F2">
        <w:rPr>
          <w:szCs w:val="24"/>
        </w:rPr>
        <w:t xml:space="preserve">To frame the relationship between physical and ontological security in this dissertation, I argue that Russia’s security practices are driven not only by a desire to be safe but also by a need to feel right. In other words, the preservation of a coherent narrative that affirms its moral agency </w:t>
      </w:r>
      <w:r w:rsidR="362CE610" w:rsidRPr="39E0B0F2">
        <w:rPr>
          <w:szCs w:val="24"/>
        </w:rPr>
        <w:t>is key for Russian actors in order to make sense of</w:t>
      </w:r>
      <w:r w:rsidRPr="39E0B0F2">
        <w:rPr>
          <w:szCs w:val="24"/>
        </w:rPr>
        <w:t xml:space="preserve"> the Kremlin’s security practices. However, I do not suggest that physical and ontological security constitute a single, inseparable whole within Russia’s sense of self. While physical insecurity may emerge intermittently, ontological insecurity is ongoing and continuously negotiated. At times, the two coincide and reinforce each other; other times, they diverge, forcing Russia to make sense of either or both as they unfold in parallel. </w:t>
      </w:r>
    </w:p>
    <w:p w14:paraId="40917DCB" w14:textId="4E4F13E9" w:rsidR="00745C08" w:rsidRPr="00B32F43" w:rsidRDefault="00745C08" w:rsidP="00BB0177">
      <w:pPr>
        <w:pStyle w:val="Titolo3"/>
        <w:ind w:firstLine="283"/>
      </w:pPr>
      <w:bookmarkStart w:id="18" w:name="_Toc215742635"/>
      <w:r w:rsidRPr="00B32F43">
        <w:t xml:space="preserve">2.1.2. Memory </w:t>
      </w:r>
      <w:r w:rsidR="00D729CA">
        <w:t>P</w:t>
      </w:r>
      <w:r w:rsidRPr="00B32F43">
        <w:t>olitics</w:t>
      </w:r>
      <w:bookmarkEnd w:id="18"/>
    </w:p>
    <w:p w14:paraId="44D13FD6" w14:textId="27EFD125" w:rsidR="00745C08" w:rsidRPr="00B32F43" w:rsidRDefault="00745C08" w:rsidP="004F4D91">
      <w:pPr>
        <w:pStyle w:val="Paragrafoelenco"/>
        <w:spacing w:before="176"/>
        <w:ind w:left="283" w:right="420" w:firstLine="360"/>
        <w:rPr>
          <w:szCs w:val="24"/>
        </w:rPr>
      </w:pPr>
      <w:r w:rsidRPr="00B32F43">
        <w:rPr>
          <w:szCs w:val="24"/>
        </w:rPr>
        <w:t xml:space="preserve">The literature on ontological security in IR has managed to cover a diverse range of theoretical and empirical issues, such as, for example, conflicts (Mitzen 2006; Rumelili 2014; Kinnvall &amp; Mitzen 2018), foreign policy (Subotić 2016; Narozhna 2018), diaspora and migration (Huysmans 1998; Gellwitzki and Houde 2023), populism and ideology (Marlow 2002; Browning 2019), nationalism (Kinnvall 2004; Krolikowski 2008; Lupovici 2012), de facto states (Jakša 2017; Pacher 2019), and post-colonialism (Morozov 2015; Untalan 2019).  </w:t>
      </w:r>
    </w:p>
    <w:p w14:paraId="2A74782E" w14:textId="615BE2BE" w:rsidR="00745C08" w:rsidRPr="00B32F43" w:rsidRDefault="00745C08" w:rsidP="004F4D91">
      <w:pPr>
        <w:pStyle w:val="Paragrafoelenco"/>
        <w:spacing w:before="176"/>
        <w:ind w:left="283" w:right="420" w:firstLine="360"/>
        <w:rPr>
          <w:szCs w:val="24"/>
        </w:rPr>
      </w:pPr>
      <w:r w:rsidRPr="00B32F43">
        <w:rPr>
          <w:szCs w:val="24"/>
        </w:rPr>
        <w:t xml:space="preserve">Of particular relevance to this dissertation is the body of scholarship that highlights how social actors, especially states, seek to preserve memories that sustain their sense of ontological security (Zarakol 2010; Gustafsson 2014; Innes &amp; Steele 2014; Mälksoo 2015; Subotić 2016; Bachleitner 2021). Nevertheless, before engaging directly with this literature, it is necessary to clarify what is meant by memory and why it has become a significant focus for scholars concerned with IR and political science (PS). </w:t>
      </w:r>
    </w:p>
    <w:p w14:paraId="396F7230" w14:textId="7801F5B0" w:rsidR="00745C08" w:rsidRPr="00B32F43" w:rsidRDefault="00745C08" w:rsidP="004F4D91">
      <w:pPr>
        <w:pStyle w:val="Paragrafoelenco"/>
        <w:spacing w:before="176"/>
        <w:ind w:left="283" w:right="420" w:firstLine="360"/>
        <w:rPr>
          <w:szCs w:val="24"/>
        </w:rPr>
      </w:pPr>
      <w:r w:rsidRPr="00B32F43">
        <w:rPr>
          <w:szCs w:val="24"/>
        </w:rPr>
        <w:t xml:space="preserve">Memory is understood in various manners within both academic and non-academic contexts, elucidating how individuals, groups, and societies recollect past occurrences. For instance, the Enlightenment philosopher Locke (1979, II.xxvii.9) defined memory as “the awareness of self-sameness through time.” Although Locke examined memory primarily as the process through which individuals recall their life experiences, this dissertation is concerned with how states, understood as governments together with the broader constellation of actors who articulate and amplify pro-government narratives, invest historical remembrance with existential significance. Since my analysis scales up the ontological needs of individuals to those of states, it necessarily focuses on the memory of collective agents, that is, collective memory. In doing so, I remain mindful of the same theoretical limitations and cautions previously discussed regarding the translation of concepts from the individual to the collective level within the study of ontological security. </w:t>
      </w:r>
    </w:p>
    <w:p w14:paraId="5907F253" w14:textId="18B4726C" w:rsidR="00745C08" w:rsidRPr="00B32F43" w:rsidRDefault="00745C08" w:rsidP="004F4D91">
      <w:pPr>
        <w:pStyle w:val="Paragrafoelenco"/>
        <w:spacing w:before="176"/>
        <w:ind w:left="283" w:right="420" w:firstLine="360"/>
        <w:rPr>
          <w:szCs w:val="24"/>
        </w:rPr>
      </w:pPr>
      <w:r w:rsidRPr="00B32F43">
        <w:rPr>
          <w:szCs w:val="24"/>
        </w:rPr>
        <w:t xml:space="preserve">Wertsch (2009, 117) argues that collective memory frequently appears in the media and in everyday conversation, particularly when discussing the causes of ethnic violence and geopolitical miscalculations. For instance, political leaders often use historical parallels to contextualize and deliberate critical issues (Khong 1992) or drive significant investments in museums and the commemoration of events through holidays (Wertsch 2009, 117). Nonetheless, this notion defies a single, definitive interpretation. Huyssen (2003) describes collective memory as an elusive topic that we all believe we understand. However, once we attempt to define it, this concept “starts slipping and sliding, eluding attempts to grasp it either culturally, sociologically, or scientifically” (Huyssen 2003, 3). </w:t>
      </w:r>
    </w:p>
    <w:p w14:paraId="0A4A047B" w14:textId="652BFEBC" w:rsidR="00745C08" w:rsidRPr="00B32F43" w:rsidRDefault="00745C08" w:rsidP="004F4D91">
      <w:pPr>
        <w:pStyle w:val="Paragrafoelenco"/>
        <w:spacing w:before="176"/>
        <w:ind w:left="283" w:right="420" w:firstLine="360"/>
        <w:rPr>
          <w:szCs w:val="24"/>
        </w:rPr>
      </w:pPr>
      <w:r w:rsidRPr="00B32F43">
        <w:rPr>
          <w:szCs w:val="24"/>
        </w:rPr>
        <w:t xml:space="preserve">French sociologist Émile Durkheim did not explicitly use the term "collective memory," but he emphasized its essential role in shaping social life, contending that every society necessitates a connection to its past for identity and cohesion (Misztal 2003). Maurice Halbwachs, who built on Durkheim's ideas, is widely regarded as the founding father of this concept. In his work on collective memory, Halbwachs presents his main argument by stating, "Our conceptions of the past are affected by the mental images we employ to solve present problems, so that collective memory is essentially a reconstruction of the past in the light of the present" (Coser 1992, 34).  </w:t>
      </w:r>
    </w:p>
    <w:p w14:paraId="47BF08BE" w14:textId="0FAFE98C" w:rsidR="00745C08" w:rsidRPr="00B32F43" w:rsidRDefault="00745C08" w:rsidP="004F4D91">
      <w:pPr>
        <w:pStyle w:val="Paragrafoelenco"/>
        <w:spacing w:before="176"/>
        <w:ind w:left="283" w:right="420" w:firstLine="360"/>
        <w:rPr>
          <w:szCs w:val="24"/>
        </w:rPr>
      </w:pPr>
      <w:r w:rsidRPr="39E0B0F2">
        <w:rPr>
          <w:szCs w:val="24"/>
        </w:rPr>
        <w:t xml:space="preserve">Building on Halbwachs' conceptualization of collective memory and the work of scholars who expanded upon it, we can identify three key characteristics of this notion. The first is that collective memory is a social process. In contrast to the perspectives of Henri Bergson and Sigmund Freud, Halbwachs posited that “it is in society that people acquire their memories” (Coser 1992, 38). Thus, memory is intersubjectively shared by a collective and (re)constructed through intricate social processes (Klein 2000; Langenbacher &amp; Shain 2010; French 2012; Verovšek 2016). The social dimension of memory is relevant to my inquiry into the Russian </w:t>
      </w:r>
      <w:r w:rsidR="5BA06582" w:rsidRPr="39E0B0F2">
        <w:rPr>
          <w:szCs w:val="24"/>
        </w:rPr>
        <w:t>S</w:t>
      </w:r>
      <w:r w:rsidRPr="39E0B0F2">
        <w:rPr>
          <w:szCs w:val="24"/>
        </w:rPr>
        <w:t xml:space="preserve">elf, as it helps demonstrate that Russia’s image as a protector is not simply a self-contained or unilateral claim but is continuously constructed and validated through social interactions with historically significant </w:t>
      </w:r>
      <w:r w:rsidR="402CC46F" w:rsidRPr="39E0B0F2">
        <w:rPr>
          <w:szCs w:val="24"/>
        </w:rPr>
        <w:t>Other</w:t>
      </w:r>
      <w:r w:rsidRPr="39E0B0F2">
        <w:rPr>
          <w:szCs w:val="24"/>
        </w:rPr>
        <w:t xml:space="preserve">s. </w:t>
      </w:r>
    </w:p>
    <w:p w14:paraId="114C4FA3" w14:textId="51FC3CD9" w:rsidR="00745C08" w:rsidRPr="00B32F43" w:rsidRDefault="00745C08" w:rsidP="004F4D91">
      <w:pPr>
        <w:pStyle w:val="Paragrafoelenco"/>
        <w:spacing w:before="176"/>
        <w:ind w:left="283" w:right="420" w:firstLine="360"/>
        <w:rPr>
          <w:szCs w:val="24"/>
        </w:rPr>
      </w:pPr>
      <w:r w:rsidRPr="00B32F43">
        <w:rPr>
          <w:szCs w:val="24"/>
        </w:rPr>
        <w:t xml:space="preserve">The second characteristic is that collective memory is a dynamic process. As Halbwachs states, “the past is not preserved but is reconstructed based on the present” (Coser 1992, 40). Scholars have further developed this idea, emphasizing that collective memory is continually (re)negotiated through intellectual and political discourse within the collective (Langenbacher &amp; Shain 2010; French 2012; Hovhannisyan 2012). Hence, it can be argued that memory “is not linear or uniform in progression. It is dynamic and can be imagined as a succession of waves and cycles, whereby events can fade into ‘distant memory’ or be awakened by younger generations who wish to remember what their parents wanted” (Langenbacher &amp; Shain 2010, 223). This aspect is crucial for my dissertation, as it highlights that Russia’s self-perception as a protector is not static but continually reconstructed in response to changing circumstances. This dynamic process of collective memory allows Russia to reinterpret the past while maintaining a coherent sense of Self in the present and thus cope with situations that threaten its ontological security. </w:t>
      </w:r>
    </w:p>
    <w:p w14:paraId="552E2FA8" w14:textId="1B5D28FB" w:rsidR="00745C08" w:rsidRPr="00B32F43" w:rsidRDefault="00745C08" w:rsidP="004F4D91">
      <w:pPr>
        <w:pStyle w:val="Paragrafoelenco"/>
        <w:spacing w:before="176"/>
        <w:ind w:left="283" w:right="420" w:firstLine="360"/>
        <w:rPr>
          <w:szCs w:val="24"/>
        </w:rPr>
      </w:pPr>
      <w:r w:rsidRPr="39E0B0F2">
        <w:rPr>
          <w:szCs w:val="24"/>
        </w:rPr>
        <w:t xml:space="preserve">The third characteristic is that collective memory is ahistorical. Halbwachs distinguished between various types of memory, including autobiographical memory, historical memory, history, and collective memory. Autobiographical memory pertains to an individual's personal experiences, whereas historical memory encompasses the recollection of events as documented in historical records. Autobiographical memory relates to the personal experiences of individuals, while historical memory involves the recollection of events as conveyed through historical records. </w:t>
      </w:r>
      <w:r w:rsidR="2A6646AC" w:rsidRPr="39E0B0F2">
        <w:rPr>
          <w:szCs w:val="24"/>
        </w:rPr>
        <w:t>History represents the past to which we have no direct connection and is an insignificant part of our lives.</w:t>
      </w:r>
      <w:r w:rsidRPr="39E0B0F2">
        <w:rPr>
          <w:szCs w:val="24"/>
        </w:rPr>
        <w:t xml:space="preserve"> Finally, collective memory encompasses the active past that shapes our identities. Halbwachs also noted that the traits of each social group shape its collective memory over time.  </w:t>
      </w:r>
    </w:p>
    <w:p w14:paraId="26F53BE7" w14:textId="52E39AD1" w:rsidR="00745C08" w:rsidRPr="00B32F43" w:rsidRDefault="00745C08" w:rsidP="004F4D91">
      <w:pPr>
        <w:pStyle w:val="Paragrafoelenco"/>
        <w:spacing w:before="176"/>
        <w:ind w:left="283" w:right="420" w:firstLine="360"/>
        <w:rPr>
          <w:szCs w:val="24"/>
        </w:rPr>
      </w:pPr>
      <w:r w:rsidRPr="00B32F43">
        <w:rPr>
          <w:szCs w:val="24"/>
        </w:rPr>
        <w:t xml:space="preserve">The distinction between history and memory was further reinforced by French historian Nora (1989, 8-9), who wrote that “memory is a perpetually actual phenomenon, a bond tying us to the eternal present; history is a representation of the past. Memory, insofar as it is affective and magical, only accommodates those facts that suit it; it nourishes recollections that may be out of focus or telescopic, global or detached, particular or symbolic” (Nora 1989, 8-9). Building on this dichotomy, Olick (2003, 15) describes collective memory as an "active past," or "the central faculty of our being in time [that is] the negotiation of the past and present through which we define our individual and collective selves."  </w:t>
      </w:r>
    </w:p>
    <w:p w14:paraId="2C2734F0" w14:textId="21E43BDC" w:rsidR="00745C08" w:rsidRPr="00B32F43" w:rsidRDefault="00745C08" w:rsidP="004F4D91">
      <w:pPr>
        <w:pStyle w:val="Paragrafoelenco"/>
        <w:spacing w:before="176"/>
        <w:ind w:left="283" w:right="420" w:firstLine="360"/>
        <w:rPr>
          <w:szCs w:val="24"/>
        </w:rPr>
      </w:pPr>
      <w:r w:rsidRPr="1530E6F3">
        <w:rPr>
          <w:szCs w:val="24"/>
        </w:rPr>
        <w:t xml:space="preserve">The ahistorical nature of collective memory forms a central premise of this dissertation. In examining the protector role, I acknowledge that it does not capture the full historical reality of Russian-Armenian relations over the centuries. The very moments that gave rise to the image of Russia as protector were often accompanied by darker episodes (Minasyan 2008), which will be mentioned in the following chapters. As Vékony (2017, 3) argues, while historians seek to uncover the past with precision and scientific rigor, collective remembrance does not require either objectivity or exactitude. Not being a historian myself, </w:t>
      </w:r>
      <w:r w:rsidR="3A60D5F8" w:rsidRPr="1530E6F3">
        <w:rPr>
          <w:szCs w:val="24"/>
        </w:rPr>
        <w:t>I aim</w:t>
      </w:r>
      <w:r w:rsidRPr="1530E6F3">
        <w:rPr>
          <w:szCs w:val="24"/>
        </w:rPr>
        <w:t xml:space="preserve"> to show how, by selectively emphasizing moments of assistance or protection, Russia constructed a vision of itself from which it derives a moral and legitimizing sense of purpose in the Nagorno-Karabakh conflict. </w:t>
      </w:r>
    </w:p>
    <w:p w14:paraId="225206D9" w14:textId="44529887" w:rsidR="00745C08" w:rsidRPr="00B32F43" w:rsidRDefault="00745C08" w:rsidP="004F4D91">
      <w:pPr>
        <w:pStyle w:val="Paragrafoelenco"/>
        <w:spacing w:before="176"/>
        <w:ind w:left="283" w:right="420" w:firstLine="360"/>
        <w:rPr>
          <w:szCs w:val="24"/>
        </w:rPr>
      </w:pPr>
      <w:r w:rsidRPr="00B32F43">
        <w:rPr>
          <w:szCs w:val="24"/>
        </w:rPr>
        <w:t xml:space="preserve">Since the 1980s, there has been a remarkable evolution in the scholarly examination of memory in social sciences. This phenomenon is often referred to as the "memory boom" (Olick 2003; Langenbacher &amp; Shain 2010), the "generation of memory" (Winter 2001), or even the "memory industry" (Klein 2000; Wertsch 2009). The latter can be noticed also by the wide range of terms emerging in scholarly work, such as "public memory" (Bodnar 1992), "social memory" (Connerton 1989), "cultural memory" (Assman 1995), "mnemonic battles" (Zerubavel 2003), and many more. </w:t>
      </w:r>
    </w:p>
    <w:p w14:paraId="2D8DA0A5" w14:textId="497E337F" w:rsidR="00745C08" w:rsidRPr="00B32F43" w:rsidRDefault="00745C08" w:rsidP="004F4D91">
      <w:pPr>
        <w:pStyle w:val="Paragrafoelenco"/>
        <w:spacing w:before="176"/>
        <w:ind w:left="283" w:right="420" w:firstLine="360"/>
        <w:rPr>
          <w:szCs w:val="24"/>
        </w:rPr>
      </w:pPr>
      <w:r w:rsidRPr="1530E6F3">
        <w:rPr>
          <w:szCs w:val="24"/>
        </w:rPr>
        <w:t xml:space="preserve">The increasing interest in memory has not only led to the creation of commemorative sites like museums and monuments and given rise to ceremonial remembrance activities but also to an increased focus on the concept of “memory politics” (Gustafsson 2014, 76). According to Langenbacher &amp; Shain (2010), this surge gained even more momentum following the September 11, 2001, terrorist attacks, which “created a poignant new traumatic memory, whose contours are still taking shape and whose cultural and policy implications are still being negotiated” (Langenbacher &amp; Shain 2010, 18). Memory politics, as defined by Confino (1997, 1393), refers to the “subjective experience of a social group that essentially sustains a relationship of </w:t>
      </w:r>
      <w:r w:rsidR="68E3C8EA" w:rsidRPr="1530E6F3">
        <w:rPr>
          <w:szCs w:val="24"/>
        </w:rPr>
        <w:t>power”</w:t>
      </w:r>
      <w:r w:rsidRPr="1530E6F3">
        <w:rPr>
          <w:szCs w:val="24"/>
        </w:rPr>
        <w:t xml:space="preserve"> and inquires about questions like “who wants whom to remember what, and why?”  </w:t>
      </w:r>
    </w:p>
    <w:p w14:paraId="3E9F9535" w14:textId="35B71202" w:rsidR="00745C08" w:rsidRPr="00B32F43" w:rsidRDefault="00745C08" w:rsidP="004F4D91">
      <w:pPr>
        <w:pStyle w:val="Paragrafoelenco"/>
        <w:spacing w:before="176"/>
        <w:ind w:left="283" w:right="420" w:firstLine="360"/>
        <w:rPr>
          <w:szCs w:val="24"/>
        </w:rPr>
      </w:pPr>
      <w:r w:rsidRPr="00B32F43">
        <w:rPr>
          <w:szCs w:val="24"/>
        </w:rPr>
        <w:t xml:space="preserve">Despite an already vast body of work on this concept, scholars continue to debate the factors that shape memory politics. Instrumentalist perspectives suggest that political elites shape collective memory to advance their interests (Zerubavel 1995; He 2009). Conversely, historical determinists contend that endeavors to manipulate history will invariably face opposition from historical realities (Barkan 2001; Suny 2009). Meanwhile, culturalist approaches maintain that collective memory is inherently tied to cultural and religious traditions, ideas, and values, and it does not seek to reflect objective historical events (Berger 2012).  This dissertation employs a culturalist framework, asserting that the legacy of the Russian Empire is not strategically utilized by the Kremlin but rather serves as a modus vivendi from which post-Soviet Russia has drawn inspiration to deal with the ontological void subsequent to the dissolution of the Soviet Union. </w:t>
      </w:r>
    </w:p>
    <w:p w14:paraId="3043986D" w14:textId="380867D4" w:rsidR="00745C08" w:rsidRPr="00B32F43" w:rsidRDefault="00745C08" w:rsidP="004F4D91">
      <w:pPr>
        <w:pStyle w:val="Paragrafoelenco"/>
        <w:spacing w:before="176"/>
        <w:ind w:left="283" w:right="420" w:firstLine="360"/>
        <w:rPr>
          <w:szCs w:val="24"/>
        </w:rPr>
      </w:pPr>
      <w:r w:rsidRPr="00B32F43">
        <w:rPr>
          <w:szCs w:val="24"/>
        </w:rPr>
        <w:t xml:space="preserve">If early sociological and political studies on memory primarily focused on the domestic sphere, scholars in IR and PS have introduced a fresh perspective on memory politics. For example, some authors have investigated the impact that memory politics has on foreign policy (Subotić 2018; Bachleitner 2021). Others have looked at the role of trauma in shaping decision-making (Resende &amp; Budryte 2014; Klymenko &amp; Siddi 2022), the effects of historical legacies on interstate reconciliation (Gustafsson 2014), or the securitization of collective memory (Mälksoo 2015). </w:t>
      </w:r>
    </w:p>
    <w:p w14:paraId="7A756DF7" w14:textId="4B712982" w:rsidR="00745C08" w:rsidRPr="00B32F43" w:rsidRDefault="00745C08" w:rsidP="004F4D91">
      <w:pPr>
        <w:pStyle w:val="Paragrafoelenco"/>
        <w:spacing w:before="176"/>
        <w:ind w:left="283" w:right="420" w:firstLine="360"/>
        <w:rPr>
          <w:szCs w:val="24"/>
        </w:rPr>
      </w:pPr>
      <w:r w:rsidRPr="00B32F43">
        <w:rPr>
          <w:szCs w:val="24"/>
        </w:rPr>
        <w:t xml:space="preserve">Over the years, various approaches, often interconnected, to studying memory politics in international affairs have emerged, and it is helpful to review some of them. One method investigates memory through the examination of historical analogies (Levy 1982; Khong 1992; Mouritzen 2020). For example, Mouritzen (2020) examines how "lessons learned" from past conflicts, such as the 2003 Iraq War, influenced decisions on military intervention in Syria in 2013. Mouritzen (2020) utilizes learning theory to demonstrate that historical analogies, particularly the comparison of the adverse consequences of the Iraq War with the Syrian context, significantly influenced the decision-making processes of nations such as the USA, UK, Poland, and Denmark. </w:t>
      </w:r>
    </w:p>
    <w:p w14:paraId="11DB6132" w14:textId="246B7844" w:rsidR="00745C08" w:rsidRPr="00B32F43" w:rsidRDefault="00745C08" w:rsidP="004F4D91">
      <w:pPr>
        <w:pStyle w:val="Paragrafoelenco"/>
        <w:spacing w:before="176"/>
        <w:ind w:left="283" w:right="420" w:firstLine="360"/>
        <w:rPr>
          <w:szCs w:val="24"/>
        </w:rPr>
      </w:pPr>
      <w:r w:rsidRPr="00B32F43">
        <w:rPr>
          <w:szCs w:val="24"/>
        </w:rPr>
        <w:t xml:space="preserve">A second approach focuses on how actors construct and redefine their historical narratives (Olick &amp; Robbins 1998). In fact, memory politics can be considered central to state identity (Olick &amp; Robbins 1998), with national biographical narratives shaping the boundaries of a nation-state's community (Berenskoetter 2012). Collective agents can employ collective memory to reinforce and reaffirm their identity, thereby equipping themselves to provide suitable responses to contemporary challenges (Vékony 2017, 4). </w:t>
      </w:r>
    </w:p>
    <w:p w14:paraId="4F4950F6" w14:textId="33CCFE58" w:rsidR="00745C08" w:rsidRPr="00B32F43" w:rsidRDefault="00745C08" w:rsidP="004F4D91">
      <w:pPr>
        <w:pStyle w:val="Paragrafoelenco"/>
        <w:spacing w:before="176"/>
        <w:ind w:left="283" w:right="420" w:firstLine="360"/>
        <w:rPr>
          <w:szCs w:val="24"/>
        </w:rPr>
      </w:pPr>
      <w:r w:rsidRPr="00B32F43">
        <w:rPr>
          <w:szCs w:val="24"/>
        </w:rPr>
        <w:t xml:space="preserve">Historical narratives significantly influence states’ foreign policy (Berenskoetter 2012; Subotić 2016; Klymenko &amp; Siddi 2022). Berenskoetter (2012) argues that biographical narratives confer on social actors “a sense of being in the world by situating them in an experienced space and an envisioned space, ordered from a particular place and delineated through horizons of experience and of possibility, respectively.” In this context, the experienced space imparts significance to the past, whereas the envisioned space offers guidance for comprehending how a community perceives and interprets the world and its position within it in the present.  </w:t>
      </w:r>
    </w:p>
    <w:p w14:paraId="6D21F71B" w14:textId="58E5E7F7" w:rsidR="00745C08" w:rsidRPr="00B32F43" w:rsidRDefault="00745C08" w:rsidP="004F4D91">
      <w:pPr>
        <w:pStyle w:val="Paragrafoelenco"/>
        <w:spacing w:before="176"/>
        <w:ind w:left="283" w:right="420" w:firstLine="360"/>
        <w:rPr>
          <w:szCs w:val="24"/>
        </w:rPr>
      </w:pPr>
      <w:r w:rsidRPr="00B32F43">
        <w:rPr>
          <w:szCs w:val="24"/>
        </w:rPr>
        <w:t xml:space="preserve">A third approach focuses on the study of memory sites, drawing on Pierre Nora's seven-volume work, “Les lieux de mémoire,” published between 1984 and 1992. Nora (1989, xvii) defines a "lieu de mémoire"/memory site as “any significant entity, whether material or non-material in nature, which by dint of human will or the work of time has become a symbolic element of the memorial heritage of any community.” These sites are not naturally occurring but are intentionally constructed to convey specific memorial meanings (Nora 1989; Gillis 1994). Memory sites are strong symbols of national identity and collective memory (Savage 1994). Official memorials further shape collective memory by encouraging visitors to engage with the national narrative and actively contribute to the construction of a particular version of the past (Yanık and Hisarlıoğlu 2019).  </w:t>
      </w:r>
    </w:p>
    <w:p w14:paraId="01D64965" w14:textId="057A32DC" w:rsidR="00745C08" w:rsidRPr="00B32F43" w:rsidRDefault="00745C08" w:rsidP="004F4D91">
      <w:pPr>
        <w:pStyle w:val="Paragrafoelenco"/>
        <w:spacing w:before="176"/>
        <w:ind w:left="283" w:right="420" w:firstLine="360"/>
        <w:rPr>
          <w:szCs w:val="24"/>
        </w:rPr>
      </w:pPr>
      <w:r w:rsidRPr="00B32F43">
        <w:rPr>
          <w:szCs w:val="24"/>
        </w:rPr>
        <w:t xml:space="preserve">A fourth approach used in the literature on memory politics involves marginalizing and erasing aspects of the past. This is particularly evident when memories shared by some groups are contested by others, leading to their constant framing and reframing within hierarchical social structures, where they can sometimes be subject to both deliberate and organic forgetting (French 2012). Klymenko &amp; Siddi (2022) emphasize the significant role of forgetting in memory politics and foreign policy, illustrating how certain historical events are selectively marginalized or erased. They argue that influential actors can suppress specific narratives, often with the tacit approval of society, which prefers to avoid confronting uncomfortable truths.  </w:t>
      </w:r>
    </w:p>
    <w:p w14:paraId="2F4C9280" w14:textId="168010AF" w:rsidR="00745C08" w:rsidRPr="00B32F43" w:rsidRDefault="00745C08" w:rsidP="004F4D91">
      <w:pPr>
        <w:pStyle w:val="Paragrafoelenco"/>
        <w:spacing w:before="176"/>
        <w:ind w:left="283" w:right="420" w:firstLine="360"/>
        <w:rPr>
          <w:szCs w:val="24"/>
        </w:rPr>
      </w:pPr>
      <w:r w:rsidRPr="39E0B0F2">
        <w:rPr>
          <w:szCs w:val="24"/>
        </w:rPr>
        <w:t xml:space="preserve">Building on these approaches, scholarship on ontological security has drawn attention to the importance of historical memory in sustaining a coherent sense of </w:t>
      </w:r>
      <w:r w:rsidR="1EAE90AB" w:rsidRPr="39E0B0F2">
        <w:rPr>
          <w:szCs w:val="24"/>
        </w:rPr>
        <w:t>S</w:t>
      </w:r>
      <w:r w:rsidRPr="39E0B0F2">
        <w:rPr>
          <w:szCs w:val="24"/>
        </w:rPr>
        <w:t xml:space="preserve">elf. In fact, historical memory plays a central role in actors’ self-identity, functioning as a temporal reference point that helps make the “past meaningful by providing a sense of where ‘we’ have come from and what ‘we’ have been through” (Berenskoetter 2012, 270). As a result, “memory must be defended,” as Mälksoo (2015) observes, drawing upon Michel Foucault’s concept that “society must be defended” (Foucault 1972).  </w:t>
      </w:r>
    </w:p>
    <w:p w14:paraId="4C04113F" w14:textId="30123EE9" w:rsidR="00745C08" w:rsidRPr="00B32F43" w:rsidRDefault="00745C08" w:rsidP="004F4D91">
      <w:pPr>
        <w:pStyle w:val="Paragrafoelenco"/>
        <w:spacing w:before="176"/>
        <w:ind w:left="283" w:right="420" w:firstLine="360"/>
        <w:rPr>
          <w:szCs w:val="24"/>
        </w:rPr>
      </w:pPr>
      <w:r w:rsidRPr="39E0B0F2">
        <w:rPr>
          <w:szCs w:val="24"/>
        </w:rPr>
        <w:t xml:space="preserve">States maintain their cohesion within the international system by assigning meaning to their past actions, thereby minimizing unpredictability and vulnerability in relation to other political actors (Innes &amp; Steele 2014; Mälksoo 2015). To accomplish this goal, they may deny or minimize past atrocities, criminalize alternative historical interpretations, or reshape public representations of history by removing monuments, revising school curricula, or altering museum exhibits (Zarakol 2010; Gustafsson 2014; Mälksoo 2015). According to Innes &amp; Steele (2014), historical traumas represent a profound ontological insecurity dilemma. Such trauma challenges the state's sense of </w:t>
      </w:r>
      <w:r w:rsidR="2C6AB97D" w:rsidRPr="39E0B0F2">
        <w:rPr>
          <w:szCs w:val="24"/>
        </w:rPr>
        <w:t>S</w:t>
      </w:r>
      <w:r w:rsidRPr="39E0B0F2">
        <w:rPr>
          <w:szCs w:val="24"/>
        </w:rPr>
        <w:t xml:space="preserve">elf, compelling it to reassess its biographical narrative (Innes &amp; Steele 2014). </w:t>
      </w:r>
    </w:p>
    <w:p w14:paraId="78C31CB0" w14:textId="2DF404CD" w:rsidR="00745C08" w:rsidRPr="00B32F43" w:rsidRDefault="7610D188" w:rsidP="004F4D91">
      <w:pPr>
        <w:pStyle w:val="Paragrafoelenco"/>
        <w:spacing w:before="176"/>
        <w:ind w:left="283" w:right="420" w:firstLine="360"/>
        <w:rPr>
          <w:szCs w:val="24"/>
        </w:rPr>
      </w:pPr>
      <w:r w:rsidRPr="39E0B0F2">
        <w:rPr>
          <w:szCs w:val="24"/>
        </w:rPr>
        <w:t>In accordance with this scholarship, I interpret the dissolution of the Soviet Union as an event that not only caused a rupture in the lived experience of many Russians, who abruptly became citizens of a new political entity, but also necessitated the Russian leadership to reevaluate and revise its historical narrative in order to define what it had been and what it was destined to become.</w:t>
      </w:r>
      <w:r w:rsidR="00745C08" w:rsidRPr="39E0B0F2">
        <w:rPr>
          <w:szCs w:val="24"/>
        </w:rPr>
        <w:t xml:space="preserve"> At the same time, Moscow became deeply entangled in the emerging ethno-territorial conflicts of the South Caucasus, including not only the Nagorno-Karabakh conflict but also those in Abkhazia and South Ossetia, which were consequences of the Soviet state’s increasing weakness (De Waal 2019). I </w:t>
      </w:r>
      <w:r w:rsidR="4F115FC0" w:rsidRPr="39E0B0F2">
        <w:rPr>
          <w:szCs w:val="24"/>
        </w:rPr>
        <w:t xml:space="preserve">believe </w:t>
      </w:r>
      <w:r w:rsidR="00745C08" w:rsidRPr="39E0B0F2">
        <w:rPr>
          <w:szCs w:val="24"/>
        </w:rPr>
        <w:t xml:space="preserve">that, given the region’s longstanding significance in Russia’s imperial history, Russia was able to invoke familiar historical analogies and reaffirm meanings that shaped its evolving sense of identity and role in the post-Soviet space, ultimately making its engagement necessary in order to preserve this sense of ontological stability. </w:t>
      </w:r>
    </w:p>
    <w:p w14:paraId="498EF75C" w14:textId="4775F90C" w:rsidR="00745C08" w:rsidRPr="00B32F43" w:rsidRDefault="00745C08" w:rsidP="00BB0177">
      <w:pPr>
        <w:pStyle w:val="Titolo3"/>
        <w:ind w:firstLine="283"/>
      </w:pPr>
      <w:bookmarkStart w:id="19" w:name="_Toc215742636"/>
      <w:r w:rsidRPr="00B32F43">
        <w:t>2.1.3.</w:t>
      </w:r>
      <w:r w:rsidRPr="00B32F43">
        <w:rPr>
          <w:smallCaps/>
        </w:rPr>
        <w:t xml:space="preserve"> </w:t>
      </w:r>
      <w:r w:rsidR="00355242">
        <w:t>Honor</w:t>
      </w:r>
      <w:bookmarkEnd w:id="19"/>
    </w:p>
    <w:p w14:paraId="7C2F9D6D" w14:textId="3A192691" w:rsidR="00745C08" w:rsidRPr="00B32F43" w:rsidRDefault="00745C08" w:rsidP="004F4D91">
      <w:pPr>
        <w:pStyle w:val="Paragrafoelenco"/>
        <w:spacing w:before="176"/>
        <w:ind w:left="283" w:right="420" w:firstLine="360"/>
        <w:rPr>
          <w:szCs w:val="24"/>
        </w:rPr>
      </w:pPr>
      <w:r w:rsidRPr="39E0B0F2">
        <w:rPr>
          <w:szCs w:val="24"/>
        </w:rPr>
        <w:t>Another important concept for the dissertation is honor, which can be considered as “a multi-phenomenal category of concepts that, as a system, hierarchically structures society when an ‘</w:t>
      </w:r>
      <w:r w:rsidR="751F671D" w:rsidRPr="39E0B0F2">
        <w:rPr>
          <w:szCs w:val="24"/>
        </w:rPr>
        <w:t>Other</w:t>
      </w:r>
      <w:r w:rsidRPr="39E0B0F2">
        <w:rPr>
          <w:szCs w:val="24"/>
        </w:rPr>
        <w:t xml:space="preserve">’ inscribes value onto an individual” (Oprisco 2012, 3). Pitt-Rivers (1965, 21) defines it as “the value of a person in his own eyes, but also in the eyes of his society. It is his estimation of his worth, his claim to pride, but it is also the acknowledgment of that claim, his excellence recognized by society, and his right to pride.”  </w:t>
      </w:r>
    </w:p>
    <w:p w14:paraId="195E0000" w14:textId="66A1025C" w:rsidR="00745C08" w:rsidRPr="00B32F43" w:rsidRDefault="00745C08" w:rsidP="004F4D91">
      <w:pPr>
        <w:pStyle w:val="Paragrafoelenco"/>
        <w:spacing w:before="176"/>
        <w:ind w:left="283" w:right="420" w:firstLine="360"/>
        <w:rPr>
          <w:szCs w:val="24"/>
        </w:rPr>
      </w:pPr>
      <w:r w:rsidRPr="39E0B0F2">
        <w:rPr>
          <w:szCs w:val="24"/>
        </w:rPr>
        <w:t xml:space="preserve">Scholars have traced the origins of honor to ancient Greece, where the term "timé" referred to both an individual’s perceived worth and the recognition granted by </w:t>
      </w:r>
      <w:r w:rsidR="2F7F0FBF" w:rsidRPr="39E0B0F2">
        <w:rPr>
          <w:szCs w:val="24"/>
        </w:rPr>
        <w:t>Other</w:t>
      </w:r>
      <w:r w:rsidRPr="39E0B0F2">
        <w:rPr>
          <w:szCs w:val="24"/>
        </w:rPr>
        <w:t xml:space="preserve">s (Cairns 2011, 29). Cairns (2011, 29), through an analysis of Homer’s Iliad and Odyssey, claims that, in Homeric society, a person’s value was determined by various factors, including military prowess, social rank, wealth, noble lineage, age, specialized skills, kinship, and loyalty, servant, or friend.  </w:t>
      </w:r>
    </w:p>
    <w:p w14:paraId="23B16EC2" w14:textId="1555ACCC" w:rsidR="00745C08" w:rsidRPr="00B32F43" w:rsidRDefault="00745C08" w:rsidP="004F4D91">
      <w:pPr>
        <w:pStyle w:val="Paragrafoelenco"/>
        <w:spacing w:before="176"/>
        <w:ind w:left="283" w:right="420" w:firstLine="360"/>
        <w:rPr>
          <w:szCs w:val="24"/>
        </w:rPr>
      </w:pPr>
      <w:r w:rsidRPr="00B32F43">
        <w:rPr>
          <w:szCs w:val="24"/>
        </w:rPr>
        <w:t xml:space="preserve">In “Cultural Theory of International Relations,” Lebow (2008), drawing not only on Homer but also on other Greek thinkers, including Thucydides, Aristotle, and Plato, illustrates how, in Ancient Greece (and not only), honor emerged as a fundamental psychological driver alongside material interests. He identifies three key elements of the human psyche: the spirit, also known as “thumós,” which prioritizes honor and status; the appetite, which seeks wealth and comfort; and reason, which, according to Plato, should govern the first two to maintain balance and order. Lebow warns that the unrestrained quest for honor and material wealth can be harmful unless directed by reason. Ultimately, reason is essential for maintaining equilibrium between the two. Disruption of this balance leads to a destructive struggle for security and survival (Lebow 2008; Friedrichs 2016). and survival (Lebow 2008; Friedrichs 2016).  </w:t>
      </w:r>
    </w:p>
    <w:p w14:paraId="47F83993" w14:textId="5BCB1A2D" w:rsidR="00745C08" w:rsidRPr="00B32F43" w:rsidRDefault="00745C08" w:rsidP="004F4D91">
      <w:pPr>
        <w:pStyle w:val="Paragrafoelenco"/>
        <w:spacing w:before="176"/>
        <w:ind w:left="283" w:right="420" w:firstLine="360"/>
        <w:rPr>
          <w:szCs w:val="24"/>
        </w:rPr>
      </w:pPr>
      <w:r w:rsidRPr="39E0B0F2">
        <w:rPr>
          <w:szCs w:val="24"/>
        </w:rPr>
        <w:t xml:space="preserve">Honor has frequently been framed in relation to gender, with the literature (Spierenburg 1998; Vandello &amp; Cohen 2003; Barnes et al. 2012; Travaglino et al. 2016) delineating differences between female and male manifestations of honor. Female honor is generally connected to concepts of sexual purity and chastity, whereas male honor is predominantly associated with the defense and provision for one's family, the protection of reputation, and the response to insults (Travaglino et al. 2016, 184). Another crucial aspect is the significance attributed to insults and acts of disrespect. In honor cultures, failing to respond to an insult may be perceived as a sign of weakness and an inability to defend himself and his possessions (Nisbett &amp; Cohen 1996). This is why men of honor become enraged when they sense that significant </w:t>
      </w:r>
      <w:r w:rsidR="10354CAA" w:rsidRPr="39E0B0F2">
        <w:rPr>
          <w:szCs w:val="24"/>
        </w:rPr>
        <w:t>Other</w:t>
      </w:r>
      <w:r w:rsidRPr="39E0B0F2">
        <w:rPr>
          <w:szCs w:val="24"/>
        </w:rPr>
        <w:t xml:space="preserve">s may question the very source of pride that society has instilled in them (Friedrichs 2016, 69). </w:t>
      </w:r>
    </w:p>
    <w:p w14:paraId="6D588EC1" w14:textId="0E806D00" w:rsidR="00745C08" w:rsidRPr="00B32F43" w:rsidRDefault="00745C08" w:rsidP="004F4D91">
      <w:pPr>
        <w:pStyle w:val="Paragrafoelenco"/>
        <w:spacing w:before="176"/>
        <w:ind w:left="283" w:right="420" w:firstLine="360"/>
        <w:rPr>
          <w:szCs w:val="24"/>
        </w:rPr>
      </w:pPr>
      <w:r w:rsidRPr="1530E6F3">
        <w:rPr>
          <w:szCs w:val="24"/>
        </w:rPr>
        <w:t xml:space="preserve">The upper classes of militaristic societies, such as feudal Europe and Japan, particularly emphasized these conceptions of honor (Stearns 2022, 105). Other historical examples include the Old South in the United States (Wyatt-Brown 1982; Nisbett &amp; Cohen 1996; Vandello et al. 2008) and traditionalist communities in Mediterranean Europe (Péristiany 1974). </w:t>
      </w:r>
      <w:r w:rsidR="0DB03990" w:rsidRPr="1530E6F3">
        <w:rPr>
          <w:szCs w:val="24"/>
        </w:rPr>
        <w:t>Uskul et al. (2022, 13) say that in these societies, honor was (and still is) socially fragile because it is hard to get back once it is lost.</w:t>
      </w:r>
      <w:r w:rsidRPr="1530E6F3">
        <w:rPr>
          <w:szCs w:val="24"/>
        </w:rPr>
        <w:t xml:space="preserve"> As a result, those who adhere to an honor-based cultural framework are motivated to protect their honor by responding to both positive and negative actions in kind. According to Uskul et al. (2022, 13), individuals who are highly alert to potential threats to their honor may respond with retaliation, discouraging others from challenging them again.  </w:t>
      </w:r>
    </w:p>
    <w:p w14:paraId="601DCAB8" w14:textId="2D01B8F1" w:rsidR="00745C08" w:rsidRPr="00B32F43" w:rsidRDefault="00745C08" w:rsidP="004F4D91">
      <w:pPr>
        <w:pStyle w:val="Paragrafoelenco"/>
        <w:spacing w:before="176"/>
        <w:ind w:left="283" w:right="420" w:firstLine="360"/>
        <w:rPr>
          <w:szCs w:val="24"/>
        </w:rPr>
      </w:pPr>
      <w:r w:rsidRPr="39E0B0F2">
        <w:rPr>
          <w:szCs w:val="24"/>
        </w:rPr>
        <w:t xml:space="preserve">Kollmann (2016) examines honor in early modern Russia as a socially and politically ingrained phenomenon pivotal to Muscovite society. She illustrates that, by the middle of the sixteenth century, a judicial system let people sue for damage to their honor through litigation, called </w:t>
      </w:r>
      <w:r w:rsidR="25F057C7" w:rsidRPr="39E0B0F2">
        <w:rPr>
          <w:szCs w:val="24"/>
        </w:rPr>
        <w:t>“</w:t>
      </w:r>
      <w:r w:rsidRPr="39E0B0F2">
        <w:rPr>
          <w:szCs w:val="24"/>
        </w:rPr>
        <w:t>beschest’e</w:t>
      </w:r>
      <w:r w:rsidR="4F7A9844" w:rsidRPr="39E0B0F2">
        <w:rPr>
          <w:szCs w:val="24"/>
        </w:rPr>
        <w:t>”</w:t>
      </w:r>
      <w:r w:rsidRPr="39E0B0F2">
        <w:rPr>
          <w:szCs w:val="24"/>
        </w:rPr>
        <w:t xml:space="preserve"> (бесчестье), and through systems of precedence, called </w:t>
      </w:r>
      <w:r w:rsidR="7980490A" w:rsidRPr="39E0B0F2">
        <w:rPr>
          <w:szCs w:val="24"/>
        </w:rPr>
        <w:t>“</w:t>
      </w:r>
      <w:r w:rsidRPr="39E0B0F2">
        <w:rPr>
          <w:szCs w:val="24"/>
        </w:rPr>
        <w:t>mestnichestvo</w:t>
      </w:r>
      <w:r w:rsidR="399D27DC" w:rsidRPr="39E0B0F2">
        <w:rPr>
          <w:szCs w:val="24"/>
        </w:rPr>
        <w:t>”</w:t>
      </w:r>
      <w:r w:rsidRPr="39E0B0F2">
        <w:rPr>
          <w:szCs w:val="24"/>
        </w:rPr>
        <w:t xml:space="preserve"> (местничество), which gave military rank based on honor (Kollmann 2016, 156). These institutions dealt with social tensions that came from people moving around and things going wrong. They gave people structured, non-violent ways to assert their status and settle disagreements while also strengthening the tsar's power (Kollmann 2016, 158). Thus, honor served as a lens to comprehend the interplay between society and the state, integrating social norms within legal and political structures.  </w:t>
      </w:r>
    </w:p>
    <w:p w14:paraId="27CDB9EF" w14:textId="1016D0BE" w:rsidR="00745C08" w:rsidRPr="00B32F43" w:rsidRDefault="00745C08" w:rsidP="004F4D91">
      <w:pPr>
        <w:pStyle w:val="Paragrafoelenco"/>
        <w:spacing w:before="176"/>
        <w:ind w:left="283" w:right="420" w:firstLine="360"/>
        <w:rPr>
          <w:szCs w:val="24"/>
        </w:rPr>
      </w:pPr>
      <w:r w:rsidRPr="39E0B0F2">
        <w:rPr>
          <w:szCs w:val="24"/>
        </w:rPr>
        <w:t xml:space="preserve">The existing literature (Pitt-Rivers 1977; Stewart 1994; Nisbett &amp; Cohen 1996; Mosquera 1999; Friedrichs 2016) asserts that a prominent feature of honor cultures is the extent to which personal value is shaped by interpersonal recognition. Bourdieu (Péristiany 1974, 211) wrote that the “point of honor is the basis of a moral code of an individual who sees himself always through the eyes of </w:t>
      </w:r>
      <w:r w:rsidR="1E88475E" w:rsidRPr="39E0B0F2">
        <w:rPr>
          <w:szCs w:val="24"/>
        </w:rPr>
        <w:t>Other</w:t>
      </w:r>
      <w:r w:rsidRPr="39E0B0F2">
        <w:rPr>
          <w:szCs w:val="24"/>
        </w:rPr>
        <w:t xml:space="preserve">s, who needs </w:t>
      </w:r>
      <w:r w:rsidR="4BC0F5FD" w:rsidRPr="39E0B0F2">
        <w:rPr>
          <w:szCs w:val="24"/>
        </w:rPr>
        <w:t>Other</w:t>
      </w:r>
      <w:r w:rsidRPr="39E0B0F2">
        <w:rPr>
          <w:szCs w:val="24"/>
        </w:rPr>
        <w:t xml:space="preserve">s for his existence, because the image he has of himself is indistinguishable from that presented to him by other people.”  </w:t>
      </w:r>
    </w:p>
    <w:p w14:paraId="5A59FA66" w14:textId="0041A552" w:rsidR="00745C08" w:rsidRPr="00B32F43" w:rsidRDefault="00745C08" w:rsidP="004F4D91">
      <w:pPr>
        <w:pStyle w:val="Paragrafoelenco"/>
        <w:spacing w:before="176"/>
        <w:ind w:left="283" w:right="420" w:firstLine="360"/>
        <w:rPr>
          <w:szCs w:val="24"/>
        </w:rPr>
      </w:pPr>
      <w:r w:rsidRPr="39E0B0F2">
        <w:rPr>
          <w:szCs w:val="24"/>
        </w:rPr>
        <w:t xml:space="preserve">Hence, (dis)honor stems not only from personal and social evaluations but also from the actions and attributes of </w:t>
      </w:r>
      <w:r w:rsidR="73B9E1E3" w:rsidRPr="39E0B0F2">
        <w:rPr>
          <w:szCs w:val="24"/>
        </w:rPr>
        <w:t>Other</w:t>
      </w:r>
      <w:r w:rsidRPr="39E0B0F2">
        <w:rPr>
          <w:szCs w:val="24"/>
        </w:rPr>
        <w:t xml:space="preserve">s (Mosquera 1999, 65). Mosquera (1999, 65) differentiates between individualistic and honor cultures, noting that, while both value personal worth and respect, social esteem plays a significantly greater role in shaping an individual's sense of </w:t>
      </w:r>
      <w:r w:rsidR="6EAF4080" w:rsidRPr="39E0B0F2">
        <w:rPr>
          <w:szCs w:val="24"/>
        </w:rPr>
        <w:t>S</w:t>
      </w:r>
      <w:r w:rsidRPr="39E0B0F2">
        <w:rPr>
          <w:szCs w:val="24"/>
        </w:rPr>
        <w:t xml:space="preserve">elf in honor cultures than in individualistic ones. This is why a part of the literature (Stewart 1994; Steele 2008; Oprisco 2012) distinguishes between external honor, which pertains to social interactions between individuals and groups, and internal honor, which refers to psychological processes within an individual (Oprisco 2012, 6).  </w:t>
      </w:r>
    </w:p>
    <w:p w14:paraId="089BE4FC" w14:textId="3824EF86" w:rsidR="00745C08" w:rsidRPr="00B32F43" w:rsidRDefault="00745C08" w:rsidP="004F4D91">
      <w:pPr>
        <w:pStyle w:val="Paragrafoelenco"/>
        <w:spacing w:before="176"/>
        <w:ind w:left="283" w:right="420" w:firstLine="360"/>
        <w:rPr>
          <w:szCs w:val="24"/>
        </w:rPr>
      </w:pPr>
      <w:r w:rsidRPr="00B32F43">
        <w:rPr>
          <w:szCs w:val="24"/>
        </w:rPr>
        <w:t xml:space="preserve">Several authors tend to treat honor as synonymous with prestige, glory, and status (Joshi 2008). For instance, Morgenthau described a “policy of prestige” aimed at demonstrating power (Donnelly 2000, 46). Aron (1966, 73) viewed glory as “inseparable from the human dialogue” yet ultimately “consecrated by victory and the enemy’s submission.” Similarly, Max Weber framed honor in terms of power when asserting that “a nation forgives injury to its interests, but not injury to its honor” (Donelan 2007, 117). </w:t>
      </w:r>
    </w:p>
    <w:p w14:paraId="6EE10132" w14:textId="55A3A645" w:rsidR="00745C08" w:rsidRPr="00B32F43" w:rsidRDefault="00745C08" w:rsidP="004F4D91">
      <w:pPr>
        <w:pStyle w:val="Paragrafoelenco"/>
        <w:spacing w:before="176"/>
        <w:ind w:left="283" w:right="420" w:firstLine="360"/>
        <w:rPr>
          <w:szCs w:val="24"/>
        </w:rPr>
      </w:pPr>
      <w:r w:rsidRPr="39E0B0F2">
        <w:rPr>
          <w:szCs w:val="24"/>
        </w:rPr>
        <w:t xml:space="preserve">Others have placed considerable emphasis on the notion of status. The latter is generally understood as an actor’s "position in a social hierarchy" (Sauder et al. 2012, 268). For example, Stewart (1994, 59) posits that "vertical honor" is the right to be respected by those who are superior in certain respects (such as rank, family, or achievements), while "horizontal honor" refers to the right to be respected. </w:t>
      </w:r>
    </w:p>
    <w:p w14:paraId="65405292" w14:textId="38871BE5" w:rsidR="00745C08" w:rsidRPr="00B32F43" w:rsidRDefault="00745C08" w:rsidP="004F4D91">
      <w:pPr>
        <w:pStyle w:val="Paragrafoelenco"/>
        <w:spacing w:before="176"/>
        <w:ind w:left="283" w:right="420" w:firstLine="360"/>
        <w:rPr>
          <w:szCs w:val="24"/>
        </w:rPr>
      </w:pPr>
      <w:r w:rsidRPr="39E0B0F2">
        <w:rPr>
          <w:szCs w:val="24"/>
        </w:rPr>
        <w:t xml:space="preserve">As argued by Koschut (2020), honor can be measured across various dimensions, including emotions. The latter can be described as the conscious awareness of physical sensations (Hutchison and Bleiker 2017). Honor itself cannot be considered an emotion (Stearns 2022). However, existing literature has shown that honor is closely connected to both positive and negative emotions (Mosquera 1999; Koschut 2018). Within the context of status, higher status tends to evoke positive emotions like pride, satisfaction, and compassion, whereas lower status is more commonly linked to negative feelings such as shame, humiliation, or anger (Koschut 2018). Moreover, when an actor perceives a loss of the status it believes it deserves, that actor can feel anxiety (Gurr 1970). </w:t>
      </w:r>
    </w:p>
    <w:p w14:paraId="495B52EF" w14:textId="11C6E253" w:rsidR="00745C08" w:rsidRPr="00B32F43" w:rsidRDefault="00745C08" w:rsidP="004F4D91">
      <w:pPr>
        <w:pStyle w:val="Paragrafoelenco"/>
        <w:spacing w:before="176"/>
        <w:ind w:left="283" w:right="420" w:firstLine="360"/>
        <w:rPr>
          <w:szCs w:val="24"/>
        </w:rPr>
      </w:pPr>
      <w:r w:rsidRPr="1530E6F3">
        <w:rPr>
          <w:szCs w:val="24"/>
        </w:rPr>
        <w:t xml:space="preserve">While a substantial part of the literature on honor has focused on its implications for dynamics within societies, other scholars have also long examined the concept of national honor (O’Neill 2001; Donelan 2007; Lebow 2008; Steele 2008; Tsygankov 2014a). The notions of "group face" and "national face" have received similar attention in the East Asian context (Gries 1999). In his 2001 seminal book “Honor, Symbols and War,” O’Neill (2001, 87-88) identifies three essential aspects of national honor: keeping one's word, protecting one's homeland or allies, and displaying social grace. This is also why, according to Friedrichs (2016, 69), honor depends on "role </w:t>
      </w:r>
      <w:r w:rsidR="224B40E5" w:rsidRPr="1530E6F3">
        <w:rPr>
          <w:szCs w:val="24"/>
        </w:rPr>
        <w:t>fulfillment"</w:t>
      </w:r>
      <w:r w:rsidRPr="1530E6F3">
        <w:rPr>
          <w:szCs w:val="24"/>
        </w:rPr>
        <w:t xml:space="preserve"> (Friedrichs 2016, 69).  </w:t>
      </w:r>
    </w:p>
    <w:p w14:paraId="68F6DC4A" w14:textId="50FC5F6A" w:rsidR="00745C08" w:rsidRPr="00B32F43" w:rsidRDefault="00745C08" w:rsidP="004F4D91">
      <w:pPr>
        <w:pStyle w:val="Paragrafoelenco"/>
        <w:spacing w:before="176"/>
        <w:ind w:left="283" w:right="420" w:firstLine="360"/>
        <w:rPr>
          <w:szCs w:val="24"/>
        </w:rPr>
      </w:pPr>
      <w:r w:rsidRPr="39E0B0F2">
        <w:rPr>
          <w:szCs w:val="24"/>
        </w:rPr>
        <w:t xml:space="preserve">Thus, the notion of honor, together with collective memory, is central to understanding Russia's pursuit of ontological security and the role of significant Others in this process. As I argued before, I </w:t>
      </w:r>
      <w:r w:rsidR="75F0EFDA" w:rsidRPr="39E0B0F2">
        <w:rPr>
          <w:szCs w:val="24"/>
        </w:rPr>
        <w:t>posit</w:t>
      </w:r>
      <w:r w:rsidRPr="39E0B0F2">
        <w:rPr>
          <w:szCs w:val="24"/>
        </w:rPr>
        <w:t xml:space="preserve"> the Kremlin does not achieve ontological security either in isolation or solely through its relations with </w:t>
      </w:r>
      <w:r w:rsidR="497BDD76" w:rsidRPr="39E0B0F2">
        <w:rPr>
          <w:szCs w:val="24"/>
        </w:rPr>
        <w:t>Other</w:t>
      </w:r>
      <w:r w:rsidRPr="39E0B0F2">
        <w:rPr>
          <w:szCs w:val="24"/>
        </w:rPr>
        <w:t xml:space="preserve">s. Honor comprises a set of moral qualities that a social actor attributes to its sense of Self and projects in interactions with significant </w:t>
      </w:r>
      <w:r w:rsidR="631D3003" w:rsidRPr="39E0B0F2">
        <w:rPr>
          <w:szCs w:val="24"/>
        </w:rPr>
        <w:t>O</w:t>
      </w:r>
      <w:r w:rsidR="57686493" w:rsidRPr="39E0B0F2">
        <w:rPr>
          <w:szCs w:val="24"/>
        </w:rPr>
        <w:t>thers,</w:t>
      </w:r>
      <w:r w:rsidRPr="39E0B0F2">
        <w:rPr>
          <w:szCs w:val="24"/>
        </w:rPr>
        <w:t xml:space="preserve"> while simultaneously seeking their recognition of its qualities.  </w:t>
      </w:r>
    </w:p>
    <w:p w14:paraId="4F3DB0EE" w14:textId="214F092B" w:rsidR="00745C08" w:rsidRPr="00B32F43" w:rsidRDefault="76FFDAB0" w:rsidP="004F4D91">
      <w:pPr>
        <w:pStyle w:val="Paragrafoelenco"/>
        <w:spacing w:before="176"/>
        <w:ind w:left="283" w:right="420" w:firstLine="360"/>
        <w:rPr>
          <w:szCs w:val="24"/>
        </w:rPr>
      </w:pPr>
      <w:r w:rsidRPr="39E0B0F2">
        <w:rPr>
          <w:szCs w:val="24"/>
        </w:rPr>
        <w:t>Social actors reflect the latter in the roles they assign to their self-identity and</w:t>
      </w:r>
      <w:r w:rsidR="00745C08" w:rsidRPr="39E0B0F2">
        <w:rPr>
          <w:szCs w:val="24"/>
        </w:rPr>
        <w:t xml:space="preserve"> the identities of </w:t>
      </w:r>
      <w:r w:rsidR="452416E1" w:rsidRPr="39E0B0F2">
        <w:rPr>
          <w:szCs w:val="24"/>
        </w:rPr>
        <w:t>O</w:t>
      </w:r>
      <w:r w:rsidR="00745C08" w:rsidRPr="39E0B0F2">
        <w:rPr>
          <w:szCs w:val="24"/>
        </w:rPr>
        <w:t xml:space="preserve">thers within honor-based societies. Such roles are often gendered and tied to status, as in the case of the protector and the victim, where moral worth is expressed through protection, sacrifice, and deference. </w:t>
      </w:r>
      <w:r w:rsidR="642E4CD4" w:rsidRPr="39E0B0F2">
        <w:rPr>
          <w:szCs w:val="24"/>
        </w:rPr>
        <w:t>Honor</w:t>
      </w:r>
      <w:r w:rsidR="00745C08" w:rsidRPr="39E0B0F2">
        <w:rPr>
          <w:szCs w:val="24"/>
        </w:rPr>
        <w:t xml:space="preserve"> is closely linked to ontological security because of the role of emotions, which will be examined in more detail in the methodological section through the way Russia’s politics of deference can be traced in discourse. Although honor is not an emotion itself, it is closely connected to questions of status and moral hierarchy and, in turn, to both positive and negative emotions</w:t>
      </w:r>
      <w:r w:rsidR="3CA73767" w:rsidRPr="39E0B0F2">
        <w:rPr>
          <w:szCs w:val="24"/>
        </w:rPr>
        <w:t>.</w:t>
      </w:r>
      <w:r w:rsidR="00745C08" w:rsidRPr="39E0B0F2">
        <w:rPr>
          <w:szCs w:val="24"/>
        </w:rPr>
        <w:t xml:space="preserve">  </w:t>
      </w:r>
    </w:p>
    <w:p w14:paraId="41F47C8A" w14:textId="12BC81D8" w:rsidR="00745C08" w:rsidRPr="00B32F43" w:rsidRDefault="00745C08" w:rsidP="004F4D91">
      <w:pPr>
        <w:pStyle w:val="Paragrafoelenco"/>
        <w:spacing w:before="176"/>
        <w:ind w:left="283" w:right="420" w:firstLine="360"/>
        <w:rPr>
          <w:szCs w:val="24"/>
        </w:rPr>
      </w:pPr>
      <w:r w:rsidRPr="39E0B0F2">
        <w:rPr>
          <w:szCs w:val="24"/>
        </w:rPr>
        <w:t xml:space="preserve">Within this framework, ontological security is maintained as long as hierarchical structures are respected. Disregarding these structures threatens ontological security, compelling high-ranking actors to respond to insults. Distinguishing between horizontal and vertical forms of honor helps clarify the centrality of significant </w:t>
      </w:r>
      <w:r w:rsidR="780C1794" w:rsidRPr="39E0B0F2">
        <w:rPr>
          <w:szCs w:val="24"/>
        </w:rPr>
        <w:t>O</w:t>
      </w:r>
      <w:r w:rsidRPr="39E0B0F2">
        <w:rPr>
          <w:szCs w:val="24"/>
        </w:rPr>
        <w:t xml:space="preserve">thers in Russia’s pursuit of ontological security. Horizontal honor concerns how peers treat one another as equals; for example, Russia seeks recognition from the West as a great power. Vertical honor, by contrast, emphasizes acknowledgment from actors considered lower in status, thereby affirming the superior moral standing of the honored actor. </w:t>
      </w:r>
    </w:p>
    <w:p w14:paraId="3F472DF9" w14:textId="50C3A007" w:rsidR="00745C08" w:rsidRPr="00B32F43" w:rsidRDefault="00B32F43" w:rsidP="00BB0177">
      <w:pPr>
        <w:pStyle w:val="Titolo2"/>
        <w:ind w:firstLine="283"/>
      </w:pPr>
      <w:bookmarkStart w:id="20" w:name="_Toc215742637"/>
      <w:r w:rsidRPr="00B32F43">
        <w:t xml:space="preserve">2.2. The </w:t>
      </w:r>
      <w:r w:rsidR="00D729CA">
        <w:t>P</w:t>
      </w:r>
      <w:r w:rsidRPr="00B32F43">
        <w:t xml:space="preserve">olitics of </w:t>
      </w:r>
      <w:r w:rsidR="00D729CA">
        <w:t>D</w:t>
      </w:r>
      <w:r w:rsidRPr="00B32F43">
        <w:t>eference</w:t>
      </w:r>
      <w:bookmarkEnd w:id="20"/>
    </w:p>
    <w:p w14:paraId="3961720C" w14:textId="7EFC7173" w:rsidR="00745C08" w:rsidRPr="00B32F43" w:rsidRDefault="00745C08" w:rsidP="004F4D91">
      <w:pPr>
        <w:pStyle w:val="Paragrafoelenco"/>
        <w:spacing w:before="176"/>
        <w:ind w:left="283" w:right="420" w:firstLine="360"/>
        <w:rPr>
          <w:szCs w:val="24"/>
        </w:rPr>
      </w:pPr>
      <w:r w:rsidRPr="39E0B0F2">
        <w:rPr>
          <w:szCs w:val="24"/>
        </w:rPr>
        <w:t xml:space="preserve">Having now clarified the three theoretical concepts that underpin my meaning-making analysis of Russia’s role in the Nagorno-Karabakh conflict, I can proceed to introduce the central argument of this dissertation. In the context of the Armenian-Azerbaijani dispute, Russia’s quest for ontological security was shaped by mnemonic reflections of its Tsarist past in the Caucasus and manifested in a politics of deference toward Armenia. While the dynamics through which Nagorno-Karabakh and Armenia came to hold such importance for Russia’s ontological security will be better examined in the following chapters, it is essential to exemplify what I mean by politics of deference and to explain how this concept is connected to those discussed thus far. </w:t>
      </w:r>
    </w:p>
    <w:p w14:paraId="2502B0E1" w14:textId="799E08AA" w:rsidR="00745C08" w:rsidRPr="00B32F43" w:rsidRDefault="00745C08" w:rsidP="004F4D91">
      <w:pPr>
        <w:pStyle w:val="Paragrafoelenco"/>
        <w:spacing w:before="176"/>
        <w:ind w:left="283" w:right="420" w:firstLine="360"/>
        <w:rPr>
          <w:szCs w:val="24"/>
        </w:rPr>
      </w:pPr>
      <w:r w:rsidRPr="00B32F43">
        <w:rPr>
          <w:szCs w:val="24"/>
        </w:rPr>
        <w:t xml:space="preserve">Deference is commonly understood as an act of showing respect and maintaining social distance toward individuals assumed to occupy a higher social status, where such status precedes the interaction itself (Fraser &amp; Nolen 1981; Hwang 1990; Wolf 2019). Wolf (2019) argues that this practice is mutually constitutive with honor. In fact, deference plays a crucial role in reproducing hierarchical rankings in societies (Fraser &amp; Nolen 1981). While honor endows actors with a sense of moral authority, deference is utilized by individuals occupying various positions within the hierarchy to exhibit respect for and endorse this authority (Wolf 2019, 1193).  </w:t>
      </w:r>
    </w:p>
    <w:p w14:paraId="3C6401AF" w14:textId="5BE7025B" w:rsidR="00745C08" w:rsidRPr="00B32F43" w:rsidRDefault="00745C08" w:rsidP="004F4D91">
      <w:pPr>
        <w:pStyle w:val="Paragrafoelenco"/>
        <w:spacing w:before="176"/>
        <w:ind w:left="283" w:right="420" w:firstLine="360"/>
        <w:rPr>
          <w:szCs w:val="24"/>
        </w:rPr>
      </w:pPr>
      <w:r w:rsidRPr="39E0B0F2">
        <w:rPr>
          <w:szCs w:val="24"/>
        </w:rPr>
        <w:t xml:space="preserve">In the case of Russia, I </w:t>
      </w:r>
      <w:r w:rsidR="6FAA2D15" w:rsidRPr="39E0B0F2">
        <w:rPr>
          <w:szCs w:val="24"/>
        </w:rPr>
        <w:t xml:space="preserve">argue </w:t>
      </w:r>
      <w:r w:rsidRPr="39E0B0F2">
        <w:rPr>
          <w:szCs w:val="24"/>
        </w:rPr>
        <w:t xml:space="preserve">that its moral standing draws on the self-perception as a benevolent protector, while deference functions as the relational mechanism through which Russia has historically sought recognition of this role both within its borders and beyond. This conception will be explored further in the next chapter, where I discuss the significance of the concept of “cultural allies,” as introduced by Tsygankov (2014a) in the context of Russian foreign policy. </w:t>
      </w:r>
    </w:p>
    <w:p w14:paraId="42FAE8D6" w14:textId="1AC26E27" w:rsidR="00745C08" w:rsidRPr="00B32F43" w:rsidRDefault="00745C08" w:rsidP="004F4D91">
      <w:pPr>
        <w:pStyle w:val="Paragrafoelenco"/>
        <w:spacing w:before="176"/>
        <w:ind w:left="283" w:right="420" w:firstLine="360"/>
        <w:rPr>
          <w:szCs w:val="24"/>
        </w:rPr>
      </w:pPr>
      <w:r w:rsidRPr="00B32F43">
        <w:rPr>
          <w:szCs w:val="24"/>
        </w:rPr>
        <w:t xml:space="preserve">The role of protector can be understood as indicative of gender-specific roles in societies rooted in honor, where masculine honor is defined by the ability to defend the homeland. While I recognize this aspect, I also contend that, consistent with my culturalist perspective on collective memory, Russia’s role as protector reflects its interpretation of the Tsarist legacy, which was institutionalized through the principle of autocracy (Tsygankov 2014a).  </w:t>
      </w:r>
    </w:p>
    <w:p w14:paraId="10C9F660" w14:textId="7B05E8D8" w:rsidR="00745C08" w:rsidRPr="00B32F43" w:rsidRDefault="00745C08" w:rsidP="004F4D91">
      <w:pPr>
        <w:pStyle w:val="Paragrafoelenco"/>
        <w:spacing w:before="176"/>
        <w:ind w:left="283" w:right="420" w:firstLine="360"/>
        <w:rPr>
          <w:szCs w:val="24"/>
        </w:rPr>
      </w:pPr>
      <w:r w:rsidRPr="00B32F43">
        <w:rPr>
          <w:szCs w:val="24"/>
        </w:rPr>
        <w:t xml:space="preserve">This principle was initially established not solely to retain complete control over political and economic resources, but also to offer ordinary Russians stability that could enhance their living standards and safeguard them from possible abuses by local authorities and the nobility (Platonov 1996, 204). Autocracy was originally established not merely to maintain absolute control over political and economic resources, but to provide ordinary Russians with stability that could improve their living conditions and protect them from potential abuses by local authorities and the nobility (Platonov 1996, 204). As Tsygankov (2014a, 320) explains, the Church and self-governing institutions were not intended to constrain the monarch’s authority but to reinforce it by enabling locally tailored responses, with the autocrat assuming the role of definitive protector of citizens’ rights.  </w:t>
      </w:r>
    </w:p>
    <w:p w14:paraId="4C097681" w14:textId="6438C4BD" w:rsidR="00745C08" w:rsidRPr="00B32F43" w:rsidRDefault="00745C08" w:rsidP="004F4D91">
      <w:pPr>
        <w:pStyle w:val="Paragrafoelenco"/>
        <w:spacing w:before="176"/>
        <w:ind w:left="283" w:right="420" w:firstLine="360"/>
        <w:rPr>
          <w:szCs w:val="24"/>
        </w:rPr>
      </w:pPr>
      <w:r w:rsidRPr="39E0B0F2">
        <w:rPr>
          <w:szCs w:val="24"/>
        </w:rPr>
        <w:t xml:space="preserve">Aside from honor, the notion of deference can be directly linked to an actor’s pursuit of ontological security. Pratt (2017, 19) defines “performative deference” as a means by which actors uphold the social structures that render their environment intelligible. Ontological security is not only concerned with the coherence of the </w:t>
      </w:r>
      <w:r w:rsidR="67F50762" w:rsidRPr="39E0B0F2">
        <w:rPr>
          <w:szCs w:val="24"/>
        </w:rPr>
        <w:t>S</w:t>
      </w:r>
      <w:r w:rsidRPr="39E0B0F2">
        <w:rPr>
          <w:szCs w:val="24"/>
        </w:rPr>
        <w:t xml:space="preserve">elf but also with the stability of the relational field in which the </w:t>
      </w:r>
      <w:r w:rsidR="54EF14CF" w:rsidRPr="39E0B0F2">
        <w:rPr>
          <w:szCs w:val="24"/>
        </w:rPr>
        <w:t>S</w:t>
      </w:r>
      <w:r w:rsidRPr="39E0B0F2">
        <w:rPr>
          <w:szCs w:val="24"/>
        </w:rPr>
        <w:t xml:space="preserve">elf is embedded (Pratt 2017, 21). By enacting deference, actors publicly affirm </w:t>
      </w:r>
      <w:r w:rsidR="29E96004" w:rsidRPr="39E0B0F2">
        <w:rPr>
          <w:szCs w:val="24"/>
        </w:rPr>
        <w:t>Other</w:t>
      </w:r>
      <w:r w:rsidRPr="39E0B0F2">
        <w:rPr>
          <w:szCs w:val="24"/>
        </w:rPr>
        <w:t xml:space="preserve">s’ social roles and standing, thereby reducing uncertainty and reinforcing the broader social order that underpins the ontological security of all parties involved (Pratt 2017, 22). Importantly, occupying a lower-ranked position in such a hierarchy is not inherently a source of shame or ontological insecurity. Rather, they arise when the code governing rightful conduct is breached (Gilmore 1987). It is in such situations that conflict may emerge, particularly when an actor feels that its integrity is at stake or when claims to honor are not adequately recognized by </w:t>
      </w:r>
      <w:r w:rsidR="4672DE2B" w:rsidRPr="39E0B0F2">
        <w:rPr>
          <w:szCs w:val="24"/>
        </w:rPr>
        <w:t>Other</w:t>
      </w:r>
      <w:r w:rsidRPr="39E0B0F2">
        <w:rPr>
          <w:szCs w:val="24"/>
        </w:rPr>
        <w:t xml:space="preserve">s (Wolf 2019, 1198). </w:t>
      </w:r>
    </w:p>
    <w:p w14:paraId="78AACADE" w14:textId="4C2D720C" w:rsidR="00745C08" w:rsidRPr="00B32F43" w:rsidRDefault="00745C08" w:rsidP="004F4D91">
      <w:pPr>
        <w:pStyle w:val="Paragrafoelenco"/>
        <w:spacing w:before="176"/>
        <w:ind w:left="283" w:right="420" w:firstLine="360"/>
        <w:rPr>
          <w:szCs w:val="24"/>
        </w:rPr>
      </w:pPr>
      <w:r w:rsidRPr="39E0B0F2">
        <w:rPr>
          <w:szCs w:val="24"/>
        </w:rPr>
        <w:t xml:space="preserve">In the case of Russia’s role in the Nagorno-Karabakh conflict, this dissertation </w:t>
      </w:r>
      <w:r w:rsidR="106FAF18" w:rsidRPr="39E0B0F2">
        <w:rPr>
          <w:szCs w:val="24"/>
        </w:rPr>
        <w:t xml:space="preserve">is driven by the argument </w:t>
      </w:r>
      <w:r w:rsidRPr="39E0B0F2">
        <w:rPr>
          <w:szCs w:val="24"/>
        </w:rPr>
        <w:t xml:space="preserve">that Armenia’s acts of deference served as a crucial source of ontological security for Moscow, enabling Russian actors to render their country’s security practices in the South Caucasus intelligible and morally justified. The politics of deference should thus be interpreted as the set of operations that Russian actors enacted to secure Armenia’s recognition of its self-image as a hero-protector, with the Nagorno-Karabakh question functioning as the symbolic arena through which Russia repeatedly sought for it. </w:t>
      </w:r>
    </w:p>
    <w:p w14:paraId="61D66764" w14:textId="41247D7E" w:rsidR="00745C08" w:rsidRPr="00B32F43" w:rsidRDefault="00745C08" w:rsidP="004F4D91">
      <w:pPr>
        <w:pStyle w:val="Paragrafoelenco"/>
        <w:spacing w:before="176"/>
        <w:ind w:left="283" w:right="420" w:firstLine="360"/>
        <w:rPr>
          <w:szCs w:val="24"/>
        </w:rPr>
      </w:pPr>
      <w:r w:rsidRPr="39E0B0F2">
        <w:rPr>
          <w:szCs w:val="24"/>
        </w:rPr>
        <w:t>While advancing the idea of a politics of deference, I recognize that this notion reflects, to some extent, the Hegelian master-slave dialectic, in which the master’s identity depends on the recognition granted by the subordinate, even as the subordinate ultimately shapes the master’s self-understanding (Hegel et al. 2013).  In the “Phenomenology of Spirit” (1807/2013), Hegel describes how both actors in the struggle for recognition seek to assert themselves as autonomous subjects. Each self-consciousness exists “in and for itself,” yet also for an “</w:t>
      </w:r>
      <w:r w:rsidR="56C45E4E" w:rsidRPr="39E0B0F2">
        <w:rPr>
          <w:szCs w:val="24"/>
        </w:rPr>
        <w:t>Other</w:t>
      </w:r>
      <w:r w:rsidRPr="39E0B0F2">
        <w:rPr>
          <w:szCs w:val="24"/>
        </w:rPr>
        <w:t xml:space="preserve">,” meaning that identity can only be constituted intersubjectively (Hegel 2013, 111–118). In this dynamic, the master (Herr) appears to prevail by subordinating the slave (Knecht). However, the master’s identity is ultimately dependent on the slave’s acknowledgment, which renders the seemingly dominant position inherently unstable and relational. In a similar fashion, Russia’s self-perception as a heroic protector in the South Caucasus required affirmation from a vulnerable counterpart. Armenia, by presenting itself as existentially threatened and acknowledging the historical role Moscow had played in its survival, enabled Russian actors to sustain the image of Russia as a morally responsible and historically indispensable force in the region. </w:t>
      </w:r>
    </w:p>
    <w:p w14:paraId="0EF34B25" w14:textId="4FE1B7FE" w:rsidR="00745C08" w:rsidRPr="00B32F43" w:rsidRDefault="00745C08" w:rsidP="00BB0177">
      <w:pPr>
        <w:pStyle w:val="Titolo2"/>
        <w:ind w:firstLine="283"/>
      </w:pPr>
      <w:bookmarkStart w:id="21" w:name="_Toc215742638"/>
      <w:r w:rsidRPr="00B32F43">
        <w:t>2.3.</w:t>
      </w:r>
      <w:r w:rsidR="00257C0D">
        <w:t xml:space="preserve"> </w:t>
      </w:r>
      <w:r w:rsidR="00B32F43" w:rsidRPr="00B32F43">
        <w:t xml:space="preserve">The </w:t>
      </w:r>
      <w:r w:rsidR="00D729CA">
        <w:t>H</w:t>
      </w:r>
      <w:r w:rsidR="00B32F43" w:rsidRPr="00B32F43">
        <w:t>ero-</w:t>
      </w:r>
      <w:r w:rsidR="00B70475">
        <w:t>P</w:t>
      </w:r>
      <w:r w:rsidR="00B32F43" w:rsidRPr="00B32F43">
        <w:t xml:space="preserve">rotector </w:t>
      </w:r>
      <w:r w:rsidR="00D729CA">
        <w:t>N</w:t>
      </w:r>
      <w:r w:rsidR="00B32F43" w:rsidRPr="00B32F43">
        <w:t>arrative</w:t>
      </w:r>
      <w:bookmarkEnd w:id="21"/>
    </w:p>
    <w:p w14:paraId="757DBCA5" w14:textId="5FA04EED" w:rsidR="00745C08" w:rsidRPr="00B32F43" w:rsidRDefault="57B9C48D" w:rsidP="004F4D91">
      <w:pPr>
        <w:pStyle w:val="Paragrafoelenco"/>
        <w:spacing w:before="176"/>
        <w:ind w:left="283" w:right="420" w:firstLine="360"/>
        <w:rPr>
          <w:szCs w:val="24"/>
        </w:rPr>
      </w:pPr>
      <w:r w:rsidRPr="14018526">
        <w:rPr>
          <w:szCs w:val="24"/>
        </w:rPr>
        <w:t>A key question about Russia's politics of deference is how it was expressed and contested during the war and how far it can be traced analytically.</w:t>
      </w:r>
      <w:r w:rsidR="00745C08" w:rsidRPr="14018526">
        <w:rPr>
          <w:szCs w:val="24"/>
        </w:rPr>
        <w:t xml:space="preserve"> Wolf (2019, 1195) notes that deference may take the form of yielding to </w:t>
      </w:r>
      <w:r w:rsidR="0FB07191" w:rsidRPr="14018526">
        <w:rPr>
          <w:szCs w:val="24"/>
        </w:rPr>
        <w:t>Other</w:t>
      </w:r>
      <w:r w:rsidR="00745C08" w:rsidRPr="14018526">
        <w:rPr>
          <w:szCs w:val="24"/>
        </w:rPr>
        <w:t xml:space="preserve">s, expressing gratitude, or publicly affirming a hierarchical relationship. However, these practices are not limited to concrete gestures alone. In particular, Gustafsson &amp; Hall (2021) introduce the concept of the “politics of emotional deference,” referring to “whose emotions deserve consideration, respect, and priority” (Gustafsson &amp; Hall 2021, 976). </w:t>
      </w:r>
    </w:p>
    <w:p w14:paraId="67BC98A3" w14:textId="508940F3" w:rsidR="00745C08" w:rsidRPr="00B32F43" w:rsidRDefault="00745C08" w:rsidP="004F4D91">
      <w:pPr>
        <w:pStyle w:val="Paragrafoelenco"/>
        <w:spacing w:before="176"/>
        <w:ind w:left="283" w:right="420" w:firstLine="360"/>
        <w:rPr>
          <w:szCs w:val="24"/>
        </w:rPr>
      </w:pPr>
      <w:r w:rsidRPr="00B32F43">
        <w:rPr>
          <w:szCs w:val="24"/>
        </w:rPr>
        <w:t xml:space="preserve">The social actors involved in the politics of reference “often seek to elevate the potential emotional impact of a given decision, practice, or outcome on a certain set of actors as a socially, morally, and politically salient concern” (Gustafsson and Hall 2021, 976). Gustafsson and Hall (2021, 976) assert that when successfully employed, the “politics of emotional deference” not only achieves specific policy outcomes but also more broadly establishes norms for discourse and behavior that respect and honor the emotions of the referent group. Conversely, when conflicts over emotional deference emerge, they can become central to political struggles. </w:t>
      </w:r>
    </w:p>
    <w:p w14:paraId="1968F700" w14:textId="65F85C52" w:rsidR="00745C08" w:rsidRPr="00B32F43" w:rsidRDefault="563F5535" w:rsidP="004F4D91">
      <w:pPr>
        <w:pStyle w:val="Paragrafoelenco"/>
        <w:spacing w:before="176"/>
        <w:ind w:left="283" w:right="420" w:firstLine="360"/>
        <w:rPr>
          <w:szCs w:val="24"/>
        </w:rPr>
      </w:pPr>
      <w:r w:rsidRPr="1530E6F3">
        <w:rPr>
          <w:szCs w:val="24"/>
        </w:rPr>
        <w:t>T</w:t>
      </w:r>
      <w:r w:rsidR="00745C08" w:rsidRPr="1530E6F3">
        <w:rPr>
          <w:szCs w:val="24"/>
        </w:rPr>
        <w:t xml:space="preserve">o trace Russia’s politics of deference, I am employing an existing analytical framework, coined by Clément et al. in 2016: the “hero-protector narrative.” On one hand, narratives serve as the means through which collective memory transmits the past into both the present and the future (Bachleitner 2021, 26). Wang (2008) further argues that narratives form the core of collective memory, as members of a community actively engage in interpreting and solidifying shared past experiences into memory representations. This process directly corresponds to the focus of my dissertation, which is the understanding of the Tsarist past in relation to its role in the Nagorno-Karabakh conflict. </w:t>
      </w:r>
    </w:p>
    <w:p w14:paraId="0C8BCA90" w14:textId="0C894EB1" w:rsidR="00745C08" w:rsidRPr="00B32F43" w:rsidRDefault="00745C08" w:rsidP="004F4D91">
      <w:pPr>
        <w:pStyle w:val="Paragrafoelenco"/>
        <w:spacing w:before="176"/>
        <w:ind w:left="283" w:right="420" w:firstLine="360"/>
        <w:rPr>
          <w:szCs w:val="24"/>
        </w:rPr>
      </w:pPr>
      <w:r w:rsidRPr="00B32F43">
        <w:rPr>
          <w:szCs w:val="24"/>
        </w:rPr>
        <w:t xml:space="preserve">On the other hand, the study of narratives also forms a deep part of the ontological security scholarship. As we already know, ontological security is often referred to as a sense of "biographical continuity" (Giddens 1991, 53). Hagström (2021, 333) claims that most of the ontological security scholarship adopts a “narrative understanding of the Self” and a “narrative ontology.” According to Flockhart (2016), narratives are functional in understanding how social actors maximize their sense of ontological security. First, through the "strategy of being," social actors establish a stable and esteem-boosting identity (Flockhart 2016, 799). Second, through the “strategy of doing,” they maintain cognitive consistency through routine practice while also taking actions that promote a sense of integrity and pride (Flockhart 2016, 799). </w:t>
      </w:r>
    </w:p>
    <w:p w14:paraId="53C9DC80" w14:textId="50AD1975" w:rsidR="00745C08" w:rsidRPr="00B32F43" w:rsidRDefault="00745C08" w:rsidP="004F4D91">
      <w:pPr>
        <w:pStyle w:val="Paragrafoelenco"/>
        <w:spacing w:before="176"/>
        <w:ind w:left="283" w:right="420" w:firstLine="360"/>
        <w:rPr>
          <w:szCs w:val="24"/>
        </w:rPr>
      </w:pPr>
      <w:r w:rsidRPr="39E0B0F2">
        <w:rPr>
          <w:szCs w:val="24"/>
        </w:rPr>
        <w:t xml:space="preserve">Overall, narratives are both constitutive elements of social actors’ self-identity and sources of stability and continuity, allowing </w:t>
      </w:r>
      <w:r w:rsidR="0C69CF25" w:rsidRPr="39E0B0F2">
        <w:rPr>
          <w:szCs w:val="24"/>
        </w:rPr>
        <w:t>individuals and states</w:t>
      </w:r>
      <w:r w:rsidRPr="39E0B0F2">
        <w:rPr>
          <w:szCs w:val="24"/>
        </w:rPr>
        <w:t xml:space="preserve"> to make sense of their experiences through biographical storytelling (Kleres 2010). At the same time, they provide helpful details about how actors navigate and mitigate ontological insecurity. Gellwitzki and Houde (2023) contend that the reassessment of established narratives or the creation of new ones functions as a coping strategy for navigating the uncertainty induced by critical circumstances. In times of profound crisis and threats to multiple aspects of state security, specific narratives are deliberately activated to establish a cognitive bridge. They enable policy shifts that respond to immediate physical security challenges while simultaneously preserving the state’s ontological security by maintaining a sense of continuity, routine, familiarity, and stability (Subotić 2016).  </w:t>
      </w:r>
    </w:p>
    <w:p w14:paraId="2A8ECE06" w14:textId="645D6854" w:rsidR="00745C08" w:rsidRPr="00B32F43" w:rsidRDefault="00745C08" w:rsidP="004F4D91">
      <w:pPr>
        <w:pStyle w:val="Paragrafoelenco"/>
        <w:spacing w:before="176"/>
        <w:ind w:left="283" w:right="420" w:firstLine="360"/>
        <w:rPr>
          <w:szCs w:val="24"/>
        </w:rPr>
      </w:pPr>
      <w:r w:rsidRPr="1530E6F3">
        <w:rPr>
          <w:szCs w:val="24"/>
        </w:rPr>
        <w:t xml:space="preserve">Returning to the “hero-protector narrative,” the latter was coined to illustrate how political leaders construct emotionally resonant narratives to justify the use of force. Such narratives often emerge in societies where gender hierarchies are deeply </w:t>
      </w:r>
      <w:r w:rsidR="60BFA70E" w:rsidRPr="1530E6F3">
        <w:rPr>
          <w:szCs w:val="24"/>
        </w:rPr>
        <w:t>embedded and</w:t>
      </w:r>
      <w:r w:rsidRPr="1530E6F3">
        <w:rPr>
          <w:szCs w:val="24"/>
        </w:rPr>
        <w:t xml:space="preserve"> ideals of dominant masculinity are strongly upheld (Clément et al. 2016, 8). While Clément et al. (2016) explicitly focus on the justification of force, I argue that their framework can be applied more broadly to understand assertiveness in conflicts. </w:t>
      </w:r>
      <w:r w:rsidR="71F07FA3" w:rsidRPr="1530E6F3">
        <w:rPr>
          <w:szCs w:val="24"/>
        </w:rPr>
        <w:t>Russia's assertiveness in Nagorno-Karabakh is clear in a number of ways, such as diplomatic engagement, a military presence in Armenia, and the temporary deployment of troops to Nagorno-Karabakh.</w:t>
      </w:r>
      <w:r w:rsidRPr="1530E6F3">
        <w:rPr>
          <w:szCs w:val="24"/>
        </w:rPr>
        <w:t xml:space="preserve"> In this dissertation, I treat the hero-protector narrative as the main script guiding Russia’s politics of deference and its quest for ontological security. </w:t>
      </w:r>
    </w:p>
    <w:p w14:paraId="7F5B592F" w14:textId="53DCC90A" w:rsidR="00745C08" w:rsidRPr="00B32F43" w:rsidRDefault="00745C08" w:rsidP="004F4D91">
      <w:pPr>
        <w:pStyle w:val="Paragrafoelenco"/>
        <w:spacing w:before="176"/>
        <w:ind w:left="283" w:right="420" w:firstLine="360"/>
        <w:rPr>
          <w:szCs w:val="24"/>
        </w:rPr>
      </w:pPr>
      <w:r w:rsidRPr="1530E6F3">
        <w:rPr>
          <w:szCs w:val="24"/>
        </w:rPr>
        <w:t xml:space="preserve">At the same time, within the hero-protector narrative framework, political leaders use language that activates the audience’s emotional need to defend moral dignity and preserve collective self-worth. This is achieved by evoking powerful feelings such as compassion for innocent victims and moral anger toward perceived aggressors or cowards (Clément et al. 2016, 2). Compassion tends to arise when people witness others suffering without justification and perceive them as unable to defend themselves. This is why innocence and vulnerability are often considered the qualities that most strongly trigger compassionate responses (Ahmed 2004, 192). I contend that this dynamic reflects the Hegelian slave-master dialectic, whereby Russia can assume the role of hero-protector and be recognized as such only through acknowledgment of Armenian suffering. </w:t>
      </w:r>
    </w:p>
    <w:p w14:paraId="40A33EA6" w14:textId="58395D63" w:rsidR="00745C08" w:rsidRPr="00B32F43" w:rsidRDefault="00745C08" w:rsidP="004F4D91">
      <w:pPr>
        <w:pStyle w:val="Paragrafoelenco"/>
        <w:spacing w:before="176"/>
        <w:ind w:left="283" w:right="420" w:firstLine="360"/>
        <w:rPr>
          <w:szCs w:val="24"/>
        </w:rPr>
      </w:pPr>
      <w:r w:rsidRPr="00B32F43">
        <w:rPr>
          <w:szCs w:val="24"/>
        </w:rPr>
        <w:t xml:space="preserve">The hero-protector narrative is structured around specific narrative roles and sequences. The latter are briefly illustrated in the following schema, originally developed by the authors and reproduced here for reference. </w:t>
      </w:r>
    </w:p>
    <w:p w14:paraId="35C57959" w14:textId="77777777" w:rsidR="00EA662B" w:rsidRDefault="00B32F43" w:rsidP="00EA662B">
      <w:pPr>
        <w:pStyle w:val="Paragrafoelenco"/>
        <w:keepNext/>
        <w:spacing w:before="176"/>
        <w:ind w:left="283" w:right="420" w:firstLine="360"/>
        <w:jc w:val="center"/>
      </w:pPr>
      <w:r w:rsidRPr="00B32F43">
        <w:rPr>
          <w:noProof/>
        </w:rPr>
        <w:drawing>
          <wp:inline distT="0" distB="0" distL="0" distR="0" wp14:anchorId="1C266D7D" wp14:editId="37DD8AAC">
            <wp:extent cx="5708197" cy="3236686"/>
            <wp:effectExtent l="0" t="0" r="6985" b="1905"/>
            <wp:docPr id="3" name="Immagine 3" descr="C:\Users\morena.cuconato\AppData\Local\Microsoft\Windows\INetCache\Content.MSO\854DB60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ena.cuconato\AppData\Local\Microsoft\Windows\INetCache\Content.MSO\854DB60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3795" cy="3273882"/>
                    </a:xfrm>
                    <a:prstGeom prst="rect">
                      <a:avLst/>
                    </a:prstGeom>
                    <a:noFill/>
                    <a:ln>
                      <a:noFill/>
                    </a:ln>
                  </pic:spPr>
                </pic:pic>
              </a:graphicData>
            </a:graphic>
          </wp:inline>
        </w:drawing>
      </w:r>
    </w:p>
    <w:p w14:paraId="16213677" w14:textId="56C55435" w:rsidR="00745C08" w:rsidRPr="001C5F72" w:rsidRDefault="00EA662B" w:rsidP="00EA662B">
      <w:pPr>
        <w:pStyle w:val="Didascalia"/>
        <w:jc w:val="center"/>
        <w:rPr>
          <w:color w:val="auto"/>
          <w:sz w:val="20"/>
          <w:szCs w:val="20"/>
        </w:rPr>
      </w:pPr>
      <w:bookmarkStart w:id="22" w:name="_Toc215742696"/>
      <w:r w:rsidRPr="001C5F72">
        <w:rPr>
          <w:color w:val="auto"/>
          <w:sz w:val="20"/>
          <w:szCs w:val="20"/>
        </w:rPr>
        <w:t xml:space="preserve">Figure </w:t>
      </w:r>
      <w:r w:rsidRPr="001C5F72">
        <w:rPr>
          <w:color w:val="auto"/>
          <w:sz w:val="20"/>
          <w:szCs w:val="20"/>
        </w:rPr>
        <w:fldChar w:fldCharType="begin"/>
      </w:r>
      <w:r w:rsidRPr="001C5F72">
        <w:rPr>
          <w:color w:val="auto"/>
          <w:sz w:val="20"/>
          <w:szCs w:val="20"/>
        </w:rPr>
        <w:instrText xml:space="preserve"> SEQ Figure \* ARABIC </w:instrText>
      </w:r>
      <w:r w:rsidRPr="001C5F72">
        <w:rPr>
          <w:color w:val="auto"/>
          <w:sz w:val="20"/>
          <w:szCs w:val="20"/>
        </w:rPr>
        <w:fldChar w:fldCharType="separate"/>
      </w:r>
      <w:r w:rsidR="003A2B4A">
        <w:rPr>
          <w:noProof/>
          <w:color w:val="auto"/>
          <w:sz w:val="20"/>
          <w:szCs w:val="20"/>
        </w:rPr>
        <w:t>1</w:t>
      </w:r>
      <w:r w:rsidRPr="001C5F72">
        <w:rPr>
          <w:color w:val="auto"/>
          <w:sz w:val="20"/>
          <w:szCs w:val="20"/>
        </w:rPr>
        <w:fldChar w:fldCharType="end"/>
      </w:r>
      <w:r w:rsidRPr="001C5F72">
        <w:rPr>
          <w:color w:val="auto"/>
          <w:sz w:val="20"/>
          <w:szCs w:val="20"/>
        </w:rPr>
        <w:t>: The Hero-</w:t>
      </w:r>
      <w:r w:rsidR="001C5F72">
        <w:rPr>
          <w:color w:val="auto"/>
          <w:sz w:val="20"/>
          <w:szCs w:val="20"/>
        </w:rPr>
        <w:t>P</w:t>
      </w:r>
      <w:r w:rsidRPr="001C5F72">
        <w:rPr>
          <w:color w:val="auto"/>
          <w:sz w:val="20"/>
          <w:szCs w:val="20"/>
        </w:rPr>
        <w:t>rotector Narrative Structure (Source: Sangar et al. 2018, 190).</w:t>
      </w:r>
      <w:bookmarkEnd w:id="22"/>
    </w:p>
    <w:p w14:paraId="58284998" w14:textId="29726D19" w:rsidR="00745C08" w:rsidRPr="00B32F43" w:rsidRDefault="00745C08" w:rsidP="004F4D91">
      <w:pPr>
        <w:pStyle w:val="Paragrafoelenco"/>
        <w:spacing w:before="176"/>
        <w:ind w:left="283" w:right="420" w:firstLine="360"/>
        <w:rPr>
          <w:szCs w:val="24"/>
        </w:rPr>
      </w:pPr>
      <w:r w:rsidRPr="00B32F43">
        <w:rPr>
          <w:szCs w:val="24"/>
        </w:rPr>
        <w:t xml:space="preserve">The structure of the hero-protector narrative revolves around four central narrative roles. The “hero-protector” is an “actor who reacts to the illegitimate aggression out of a sense of moral obligation and not in the pursuit of egoistic interests” (Sangar et al. 2018, 190). The hero takes action to confront and eliminate the source of aggression, even if this means violating moral norms that would typically apply in a just and lawful context. In doing so, the hero risks personal safety or material well-being and demonstrates a willingness to make sacrifices for the sake of protecting the “victim.” This readiness to act and accept personal cost highlights the contrast between the hero and the figure of the “coward,” who remains passive.  </w:t>
      </w:r>
    </w:p>
    <w:p w14:paraId="30F37684" w14:textId="55283FF1" w:rsidR="00745C08" w:rsidRPr="00B32F43" w:rsidRDefault="00745C08" w:rsidP="004F4D91">
      <w:pPr>
        <w:pStyle w:val="Paragrafoelenco"/>
        <w:spacing w:before="176"/>
        <w:ind w:left="283" w:right="420" w:firstLine="360"/>
        <w:rPr>
          <w:szCs w:val="24"/>
        </w:rPr>
      </w:pPr>
      <w:r w:rsidRPr="39E0B0F2">
        <w:rPr>
          <w:szCs w:val="24"/>
        </w:rPr>
        <w:t xml:space="preserve">The “victim” refers to “any actor who remains passive during the narrative and is the target of the unprovoked, illegitimate aggression by the perverse aggressor” (Sangar et al. 2018, 190). The latter is described by Sangar et al. (2018, 190) as “a perpetrator who pursues his/her advantage without any respect for the life and rights of </w:t>
      </w:r>
      <w:r w:rsidR="44A94567" w:rsidRPr="39E0B0F2">
        <w:rPr>
          <w:szCs w:val="24"/>
        </w:rPr>
        <w:t>Other</w:t>
      </w:r>
      <w:r w:rsidRPr="39E0B0F2">
        <w:rPr>
          <w:szCs w:val="24"/>
        </w:rPr>
        <w:t xml:space="preserve">s.” This actor typically “initiates violence without justification or provocation and is frequently depicted as “perverse.” Finally, the “coward” is “an actor who, despite having a moral responsibility toward the victim, does not do what is morally right out of fear for his/her life and material interest” (Sangar et al. 2018, 192). Instead of intervening, the coward either stays passive while the victim is harmed or even aligns with the aggressor. By failing to uphold what is considered morally right, the coward risks becoming a legitimate target for the hero. </w:t>
      </w:r>
    </w:p>
    <w:p w14:paraId="00ED1191" w14:textId="3F92DF7E" w:rsidR="00745C08" w:rsidRPr="00B32F43" w:rsidRDefault="00745C08" w:rsidP="004F4D91">
      <w:pPr>
        <w:pStyle w:val="Paragrafoelenco"/>
        <w:spacing w:before="176"/>
        <w:ind w:left="283" w:right="420" w:firstLine="360"/>
        <w:rPr>
          <w:szCs w:val="24"/>
        </w:rPr>
      </w:pPr>
      <w:r w:rsidRPr="39E0B0F2">
        <w:rPr>
          <w:szCs w:val="24"/>
        </w:rPr>
        <w:t xml:space="preserve">Furthermore, the “hero-protector narrative” is also structured around distinct sequences of action, each representing a defined episode that contributes to the narrative’s central turning point or climax (Sangar et al. 2018, 192). The first sequence typically begins with "a current act of aggression against an innocent victim, shown allegedly from the victim’s </w:t>
      </w:r>
      <w:r w:rsidR="287CA9B9" w:rsidRPr="39E0B0F2">
        <w:rPr>
          <w:szCs w:val="24"/>
        </w:rPr>
        <w:t>perspective"</w:t>
      </w:r>
      <w:r w:rsidRPr="39E0B0F2">
        <w:rPr>
          <w:szCs w:val="24"/>
        </w:rPr>
        <w:t xml:space="preserve"> (Sangar et al. 2018</w:t>
      </w:r>
      <w:r w:rsidR="3F6F4C89" w:rsidRPr="39E0B0F2">
        <w:rPr>
          <w:szCs w:val="24"/>
        </w:rPr>
        <w:t>,</w:t>
      </w:r>
      <w:r w:rsidRPr="39E0B0F2">
        <w:rPr>
          <w:szCs w:val="24"/>
        </w:rPr>
        <w:t xml:space="preserve"> 192). This moment prompts an immediate emotional response from the audience, marked by "a combination of moral anger and compassion because the aggression happens without prior provocation by the victim or any other legitimate reason" (Sangar et al. 2018</w:t>
      </w:r>
      <w:r w:rsidR="142B8C5B" w:rsidRPr="39E0B0F2">
        <w:rPr>
          <w:szCs w:val="24"/>
        </w:rPr>
        <w:t>,</w:t>
      </w:r>
      <w:r w:rsidRPr="39E0B0F2">
        <w:rPr>
          <w:szCs w:val="24"/>
        </w:rPr>
        <w:t xml:space="preserve"> 192). The victim is portrayed as defenseless, which introduces a strong moral imperative for someone capable to step in. </w:t>
      </w:r>
    </w:p>
    <w:p w14:paraId="007E4585" w14:textId="38B89496" w:rsidR="00745C08" w:rsidRPr="00B32F43" w:rsidRDefault="00745C08" w:rsidP="004F4D91">
      <w:pPr>
        <w:pStyle w:val="Paragrafoelenco"/>
        <w:spacing w:before="176"/>
        <w:ind w:left="283" w:right="420" w:firstLine="360"/>
        <w:rPr>
          <w:szCs w:val="24"/>
        </w:rPr>
      </w:pPr>
      <w:r w:rsidRPr="39E0B0F2">
        <w:rPr>
          <w:szCs w:val="24"/>
        </w:rPr>
        <w:t>The second sequence shifts the focus to "a former act of aggression, which can be considered a precedent to the extent that it happened in the more or less distant past" (Sangar et al. 2018</w:t>
      </w:r>
      <w:r w:rsidR="1397133F" w:rsidRPr="39E0B0F2">
        <w:rPr>
          <w:szCs w:val="24"/>
        </w:rPr>
        <w:t>,</w:t>
      </w:r>
      <w:r w:rsidRPr="39E0B0F2">
        <w:rPr>
          <w:szCs w:val="24"/>
        </w:rPr>
        <w:t xml:space="preserve"> 192). This stage serves to reinforce the aggressor’s consistency in behavior, underscoring his or her inherently violent and malicious character. The third sequence usually involves "a first (failed) attempt to protect the victim, which happened in the more or less distant past as a reaction to the chronologically first aggression" (Sangar et al. 2018</w:t>
      </w:r>
      <w:r w:rsidR="7A406337" w:rsidRPr="39E0B0F2">
        <w:rPr>
          <w:szCs w:val="24"/>
        </w:rPr>
        <w:t>,</w:t>
      </w:r>
      <w:r w:rsidRPr="39E0B0F2">
        <w:rPr>
          <w:szCs w:val="24"/>
        </w:rPr>
        <w:t xml:space="preserve"> 192). This part often illustrates a non-military or restrained reaction, which ultimately proved ineffective in stopping the aggressor. </w:t>
      </w:r>
    </w:p>
    <w:p w14:paraId="63F143A3" w14:textId="61D508A0" w:rsidR="00745C08" w:rsidRPr="00B32F43" w:rsidRDefault="00745C08" w:rsidP="004F4D91">
      <w:pPr>
        <w:pStyle w:val="Paragrafoelenco"/>
        <w:spacing w:before="176"/>
        <w:ind w:left="283" w:right="420" w:firstLine="360"/>
        <w:rPr>
          <w:szCs w:val="24"/>
        </w:rPr>
      </w:pPr>
      <w:r w:rsidRPr="39E0B0F2">
        <w:rPr>
          <w:szCs w:val="24"/>
        </w:rPr>
        <w:t>The fourth sequence features "the anticipated intervention of the hero-protector, who finally confronts the aggressor" (Sangar et al. 2018</w:t>
      </w:r>
      <w:r w:rsidR="1005ECA4" w:rsidRPr="39E0B0F2">
        <w:rPr>
          <w:szCs w:val="24"/>
        </w:rPr>
        <w:t>,</w:t>
      </w:r>
      <w:r w:rsidRPr="39E0B0F2">
        <w:rPr>
          <w:szCs w:val="24"/>
        </w:rPr>
        <w:t xml:space="preserve"> 192). Here, the use of force is shown as the only viable option for the hero to decisively alter the situation and permanently remove the threat against the victim. Finally, the narrative ends with "normalization and de-dramatization” (Sangar et al. 2018</w:t>
      </w:r>
      <w:r w:rsidR="4C16F8DA" w:rsidRPr="39E0B0F2">
        <w:rPr>
          <w:szCs w:val="24"/>
        </w:rPr>
        <w:t>,</w:t>
      </w:r>
      <w:r w:rsidRPr="39E0B0F2">
        <w:rPr>
          <w:szCs w:val="24"/>
        </w:rPr>
        <w:t xml:space="preserve"> 192). The dramatic tension is resolved, and a better end state provides additional legitimacy to the use of force as a necessary and morally appropriate means to restore the victim’s dignity and return to “normal life” (Sangar et al. 2018, 192). This resolution underscores the hero’s actions as both just and necessary, bringing closure and moral clarity to the story. </w:t>
      </w:r>
    </w:p>
    <w:p w14:paraId="196EF28E" w14:textId="5BE9E5DB" w:rsidR="00745C08" w:rsidRPr="00B32F43" w:rsidRDefault="00745C08" w:rsidP="004F4D91">
      <w:pPr>
        <w:pStyle w:val="Paragrafoelenco"/>
        <w:spacing w:before="176"/>
        <w:ind w:left="283" w:right="420" w:firstLine="360"/>
        <w:rPr>
          <w:szCs w:val="24"/>
        </w:rPr>
      </w:pPr>
      <w:r w:rsidRPr="00B32F43">
        <w:rPr>
          <w:szCs w:val="24"/>
        </w:rPr>
        <w:t xml:space="preserve">I chose the hero-protector narrative as the framework for my analysis because it embodies a powerful instrument to catch the link in terms of roles and sequences between Russia’s self-perception in the Nagorno-Karabakh conflict and the way through which the Russian Empire shaped its relationship with Armenia in emotional and moral terms. From the eighteenth to the early twentieth century, Tsarist authorities cast themselves as heroic guardians of Armenians, regarding the latter not simply as allies on the southern frontier but also as defenseless victims they had a religious duty to protect from Muslim oppressors, such as the Persian and the Ottoman Empires (Blauvelt &amp; Berglund 2016, 70) </w:t>
      </w:r>
    </w:p>
    <w:p w14:paraId="7243F367" w14:textId="44D7348C" w:rsidR="00745C08" w:rsidRPr="00B32F43" w:rsidRDefault="00745C08" w:rsidP="004F4D91">
      <w:pPr>
        <w:pStyle w:val="Paragrafoelenco"/>
        <w:spacing w:before="176"/>
        <w:ind w:left="283" w:right="420" w:firstLine="360"/>
        <w:rPr>
          <w:szCs w:val="24"/>
        </w:rPr>
      </w:pPr>
      <w:r w:rsidRPr="39E0B0F2">
        <w:rPr>
          <w:szCs w:val="24"/>
        </w:rPr>
        <w:t>The preservation of the protector image was central to the policies of the Tsarist Empire, which, for this reason, sought to keep Armenians under constant threat from their traditional adversaries (Somakian 199</w:t>
      </w:r>
      <w:r w:rsidR="072D7D5F" w:rsidRPr="39E0B0F2">
        <w:rPr>
          <w:szCs w:val="24"/>
        </w:rPr>
        <w:t>2,</w:t>
      </w:r>
      <w:r w:rsidRPr="39E0B0F2">
        <w:rPr>
          <w:szCs w:val="24"/>
        </w:rPr>
        <w:t xml:space="preserve"> 80). Nevertheless, subsequent chapters dedicated to Russian-Armenian relations will more thoroughly examine how this relationship was consistently characterized by underlying tensions (Hovannisian 1971; Suny 1993; Badalyan Riegg 2020). </w:t>
      </w:r>
      <w:r w:rsidR="4BB3B089" w:rsidRPr="39E0B0F2">
        <w:rPr>
          <w:szCs w:val="24"/>
        </w:rPr>
        <w:t>Armenians' misrecognition of Russia's protector role and the Tsarist authorities' portrayal of Armenians as "conspiratorial" were consequential of this shift (Suny 1993, 32).</w:t>
      </w:r>
      <w:r w:rsidRPr="39E0B0F2">
        <w:rPr>
          <w:szCs w:val="24"/>
        </w:rPr>
        <w:t xml:space="preserve"> Moreover, the strategic interests of the Russian Empire did not consistently align with Armenian </w:t>
      </w:r>
      <w:r w:rsidR="247DEBFF" w:rsidRPr="39E0B0F2">
        <w:rPr>
          <w:szCs w:val="24"/>
        </w:rPr>
        <w:t>needs,</w:t>
      </w:r>
      <w:r w:rsidRPr="39E0B0F2">
        <w:rPr>
          <w:szCs w:val="24"/>
        </w:rPr>
        <w:t xml:space="preserve"> thereby constraining Tsars's ability to provide sustained support, with the Armenian Genocide serving as its most tragic illustration (Holquist 2011).  </w:t>
      </w:r>
    </w:p>
    <w:p w14:paraId="58B445F6" w14:textId="1CC48477" w:rsidR="00745C08" w:rsidRPr="00B32F43" w:rsidRDefault="00745C08" w:rsidP="004F4D91">
      <w:pPr>
        <w:pStyle w:val="Paragrafoelenco"/>
        <w:spacing w:before="176"/>
        <w:ind w:left="283" w:right="420" w:firstLine="360"/>
        <w:rPr>
          <w:szCs w:val="24"/>
        </w:rPr>
      </w:pPr>
      <w:r w:rsidRPr="39E0B0F2">
        <w:rPr>
          <w:szCs w:val="24"/>
        </w:rPr>
        <w:t xml:space="preserve">Overall, it is worth noting that the hero-protector narrative offers significant analytical insight into Russian-Armenian relations, as it not only delineates historical perceptions but also encapsulates key elements of post-Soviet Russia’s self-identity and traces them within its contemporary security policies. In fact, it establishes the moral and emotional foundation through which Russian actors pursue ontological security by using the significant </w:t>
      </w:r>
      <w:r w:rsidR="327AD0C1" w:rsidRPr="39E0B0F2">
        <w:rPr>
          <w:szCs w:val="24"/>
        </w:rPr>
        <w:t>Other</w:t>
      </w:r>
      <w:r w:rsidRPr="39E0B0F2">
        <w:rPr>
          <w:szCs w:val="24"/>
        </w:rPr>
        <w:t xml:space="preserve"> as a mirror. By analyzing the manner in which this narrative is disseminated and substantiated through discursive means during periods of calm as well as in critical moments such as the Nagorno-Karabakh conflict, this dissertation addresses the research question. </w:t>
      </w:r>
    </w:p>
    <w:p w14:paraId="18A35E92" w14:textId="4F1CAB2F" w:rsidR="00745C08" w:rsidRPr="00B32F43" w:rsidRDefault="00B32F43" w:rsidP="00BB0177">
      <w:pPr>
        <w:pStyle w:val="Titolo2"/>
        <w:ind w:firstLine="283"/>
      </w:pPr>
      <w:bookmarkStart w:id="23" w:name="_Toc215742639"/>
      <w:r w:rsidRPr="00B32F43">
        <w:t>Conclusion</w:t>
      </w:r>
      <w:bookmarkEnd w:id="23"/>
    </w:p>
    <w:p w14:paraId="3025022F" w14:textId="5C7DCC58" w:rsidR="00745C08" w:rsidRPr="00B32F43" w:rsidRDefault="00745C08" w:rsidP="004F4D91">
      <w:pPr>
        <w:pStyle w:val="Paragrafoelenco"/>
        <w:spacing w:before="176"/>
        <w:ind w:left="283" w:right="420" w:firstLine="360"/>
        <w:rPr>
          <w:szCs w:val="24"/>
        </w:rPr>
      </w:pPr>
      <w:r w:rsidRPr="39E0B0F2">
        <w:rPr>
          <w:szCs w:val="24"/>
        </w:rPr>
        <w:t xml:space="preserve">This chapter has laid the theoretical foundations necessary to understand </w:t>
      </w:r>
      <w:r w:rsidR="5D4B720A" w:rsidRPr="39E0B0F2">
        <w:rPr>
          <w:szCs w:val="24"/>
        </w:rPr>
        <w:t>the research question</w:t>
      </w:r>
      <w:r w:rsidRPr="39E0B0F2">
        <w:rPr>
          <w:szCs w:val="24"/>
        </w:rPr>
        <w:t xml:space="preserve">. It has done so by showing how the notions of ontological security, memory politics, and honor come together in what I call Russia’s politics of deference. Each of these concepts has offered a distinct but complementary way to understand how Russia seeks meaning, continuity, and moral validation in its conduct toward Armenia and the South Caucasus more broadly. </w:t>
      </w:r>
    </w:p>
    <w:p w14:paraId="03A1DEFC" w14:textId="1329CB20" w:rsidR="00745C08" w:rsidRPr="00B32F43" w:rsidRDefault="00745C08" w:rsidP="004F4D91">
      <w:pPr>
        <w:pStyle w:val="Paragrafoelenco"/>
        <w:spacing w:before="176"/>
        <w:ind w:left="283" w:right="420" w:firstLine="360"/>
        <w:rPr>
          <w:szCs w:val="24"/>
        </w:rPr>
      </w:pPr>
      <w:r w:rsidRPr="39E0B0F2">
        <w:rPr>
          <w:szCs w:val="24"/>
        </w:rPr>
        <w:t xml:space="preserve">The Kremlin’s </w:t>
      </w:r>
      <w:r w:rsidR="64D70D59" w:rsidRPr="39E0B0F2">
        <w:rPr>
          <w:szCs w:val="24"/>
        </w:rPr>
        <w:t>security practices reflect</w:t>
      </w:r>
      <w:r w:rsidRPr="39E0B0F2">
        <w:rPr>
          <w:szCs w:val="24"/>
        </w:rPr>
        <w:t xml:space="preserve"> a deeper need to preserve a coherent sense of </w:t>
      </w:r>
      <w:r w:rsidR="67161FEB" w:rsidRPr="39E0B0F2">
        <w:rPr>
          <w:szCs w:val="24"/>
        </w:rPr>
        <w:t>S</w:t>
      </w:r>
      <w:r w:rsidRPr="39E0B0F2">
        <w:rPr>
          <w:szCs w:val="24"/>
        </w:rPr>
        <w:t xml:space="preserve">elf in a world that has repeatedly unsettled its </w:t>
      </w:r>
      <w:r w:rsidR="4F87A43F" w:rsidRPr="39E0B0F2">
        <w:rPr>
          <w:szCs w:val="24"/>
        </w:rPr>
        <w:t>self-</w:t>
      </w:r>
      <w:r w:rsidRPr="39E0B0F2">
        <w:rPr>
          <w:szCs w:val="24"/>
        </w:rPr>
        <w:t xml:space="preserve">identity since the end of the Soviet Union. </w:t>
      </w:r>
      <w:r w:rsidR="21154EE2" w:rsidRPr="39E0B0F2">
        <w:rPr>
          <w:szCs w:val="24"/>
        </w:rPr>
        <w:t>Within this logic, A</w:t>
      </w:r>
      <w:r w:rsidRPr="39E0B0F2">
        <w:rPr>
          <w:szCs w:val="24"/>
        </w:rPr>
        <w:t xml:space="preserve">rmenia appears not only as a strategic partner but also as a significant </w:t>
      </w:r>
      <w:r w:rsidR="51FFAC01" w:rsidRPr="39E0B0F2">
        <w:rPr>
          <w:szCs w:val="24"/>
        </w:rPr>
        <w:t>O</w:t>
      </w:r>
      <w:r w:rsidRPr="39E0B0F2">
        <w:rPr>
          <w:szCs w:val="24"/>
        </w:rPr>
        <w:t xml:space="preserve">ther whose recognition helps sustain Russia’s belief in its own moral consistency. The debates within ontological security theory have made it possible to adopt an approach that treats identity as both internally narrated and externally affirmed, recognizing that the search for stability often involves moments of transformation. </w:t>
      </w:r>
    </w:p>
    <w:p w14:paraId="76A5A560" w14:textId="7989D4A0" w:rsidR="00745C08" w:rsidRPr="00B32F43" w:rsidRDefault="00745C08" w:rsidP="004F4D91">
      <w:pPr>
        <w:pStyle w:val="Paragrafoelenco"/>
        <w:spacing w:before="176"/>
        <w:ind w:left="283" w:right="420" w:firstLine="360"/>
        <w:rPr>
          <w:szCs w:val="24"/>
        </w:rPr>
      </w:pPr>
      <w:r w:rsidRPr="39E0B0F2">
        <w:rPr>
          <w:szCs w:val="24"/>
        </w:rPr>
        <w:t>The discussion on memory politics has shown how Russia draws emotional and symbolic strength from the selective remembrance of its imperial past. By treating memory as a social, dynamic,</w:t>
      </w:r>
      <w:r w:rsidR="3366C0A7" w:rsidRPr="39E0B0F2">
        <w:rPr>
          <w:szCs w:val="24"/>
        </w:rPr>
        <w:t xml:space="preserve"> and </w:t>
      </w:r>
      <w:r w:rsidRPr="39E0B0F2">
        <w:rPr>
          <w:szCs w:val="24"/>
        </w:rPr>
        <w:t>ahistorical process</w:t>
      </w:r>
      <w:r w:rsidR="437591EA" w:rsidRPr="39E0B0F2">
        <w:rPr>
          <w:szCs w:val="24"/>
        </w:rPr>
        <w:t xml:space="preserve"> guided by a culturalist framework</w:t>
      </w:r>
      <w:r w:rsidRPr="39E0B0F2">
        <w:rPr>
          <w:szCs w:val="24"/>
        </w:rPr>
        <w:t xml:space="preserve">, this dissertation views Russia’s image of itself as Armenia’s protector as a </w:t>
      </w:r>
      <w:r w:rsidR="29DAB85F" w:rsidRPr="39E0B0F2">
        <w:rPr>
          <w:szCs w:val="24"/>
        </w:rPr>
        <w:t>modus vivendi</w:t>
      </w:r>
      <w:r w:rsidRPr="39E0B0F2">
        <w:rPr>
          <w:szCs w:val="24"/>
        </w:rPr>
        <w:t xml:space="preserve"> rather than a historical truth. Through this perspective, memory politics becomes a way for Russia to sustain its ontological security by drawing moral purpose from a reconstructed past. The invocation of imperial legacies is not a mechanical reproduction of history but a continuous act of remembering that keeps the past emotionally present and politically meaningful. </w:t>
      </w:r>
    </w:p>
    <w:p w14:paraId="11246592" w14:textId="0049D537" w:rsidR="00745C08" w:rsidRPr="00B32F43" w:rsidRDefault="00745C08" w:rsidP="004F4D91">
      <w:pPr>
        <w:pStyle w:val="Paragrafoelenco"/>
        <w:spacing w:before="176"/>
        <w:ind w:left="283" w:right="420" w:firstLine="360"/>
        <w:rPr>
          <w:szCs w:val="24"/>
        </w:rPr>
      </w:pPr>
      <w:r w:rsidRPr="39E0B0F2">
        <w:rPr>
          <w:szCs w:val="24"/>
        </w:rPr>
        <w:t xml:space="preserve">The concept of honor has added a moral dimension to this picture. Honor defines not only how Russia perceives its own worth but also how it expects </w:t>
      </w:r>
      <w:r w:rsidR="5A3805F1" w:rsidRPr="39E0B0F2">
        <w:rPr>
          <w:szCs w:val="24"/>
        </w:rPr>
        <w:t>Other</w:t>
      </w:r>
      <w:r w:rsidRPr="39E0B0F2">
        <w:rPr>
          <w:szCs w:val="24"/>
        </w:rPr>
        <w:t xml:space="preserve">s to recognize it. Armenia’s </w:t>
      </w:r>
      <w:r w:rsidR="1745CD60" w:rsidRPr="39E0B0F2">
        <w:rPr>
          <w:szCs w:val="24"/>
        </w:rPr>
        <w:t xml:space="preserve">recognition </w:t>
      </w:r>
      <w:r w:rsidRPr="39E0B0F2">
        <w:rPr>
          <w:szCs w:val="24"/>
        </w:rPr>
        <w:t xml:space="preserve">of </w:t>
      </w:r>
      <w:r w:rsidR="425D348D" w:rsidRPr="39E0B0F2">
        <w:rPr>
          <w:szCs w:val="24"/>
        </w:rPr>
        <w:t xml:space="preserve">the </w:t>
      </w:r>
      <w:r w:rsidR="758693FE" w:rsidRPr="39E0B0F2">
        <w:rPr>
          <w:szCs w:val="24"/>
        </w:rPr>
        <w:t>Kremlin’s</w:t>
      </w:r>
      <w:r w:rsidRPr="39E0B0F2">
        <w:rPr>
          <w:szCs w:val="24"/>
        </w:rPr>
        <w:t xml:space="preserve"> protector role</w:t>
      </w:r>
      <w:r w:rsidR="299375D3" w:rsidRPr="39E0B0F2">
        <w:rPr>
          <w:szCs w:val="24"/>
        </w:rPr>
        <w:t xml:space="preserve"> during the Nagorno-Karabakh</w:t>
      </w:r>
      <w:r w:rsidRPr="39E0B0F2">
        <w:rPr>
          <w:szCs w:val="24"/>
        </w:rPr>
        <w:t xml:space="preserve"> serve</w:t>
      </w:r>
      <w:r w:rsidR="1B268B8B" w:rsidRPr="39E0B0F2">
        <w:rPr>
          <w:szCs w:val="24"/>
        </w:rPr>
        <w:t>d</w:t>
      </w:r>
      <w:r w:rsidRPr="39E0B0F2">
        <w:rPr>
          <w:szCs w:val="24"/>
        </w:rPr>
        <w:t xml:space="preserve"> to reaffirm a moral and hierarchical order that allows </w:t>
      </w:r>
      <w:r w:rsidR="29724896" w:rsidRPr="39E0B0F2">
        <w:rPr>
          <w:szCs w:val="24"/>
        </w:rPr>
        <w:t xml:space="preserve">Moscow </w:t>
      </w:r>
      <w:r w:rsidRPr="39E0B0F2">
        <w:rPr>
          <w:szCs w:val="24"/>
        </w:rPr>
        <w:t xml:space="preserve">to understand its own identity as just and dignified. When this </w:t>
      </w:r>
      <w:r w:rsidR="50EBA49C" w:rsidRPr="39E0B0F2">
        <w:rPr>
          <w:szCs w:val="24"/>
        </w:rPr>
        <w:t xml:space="preserve">recognition </w:t>
      </w:r>
      <w:r w:rsidRPr="39E0B0F2">
        <w:rPr>
          <w:szCs w:val="24"/>
        </w:rPr>
        <w:t xml:space="preserve">is withheld or questioned, ontological insecurity emerges. In this sense, honor provides both the emotional charge and the relational framework through which Russia’s identity in the region becomes intelligible. </w:t>
      </w:r>
    </w:p>
    <w:p w14:paraId="151F98CD" w14:textId="77777777" w:rsidR="00644D8F" w:rsidRDefault="0BC1153F" w:rsidP="004F4D91">
      <w:pPr>
        <w:pStyle w:val="Paragrafoelenco"/>
        <w:spacing w:before="176"/>
        <w:ind w:left="283" w:right="420" w:firstLine="360"/>
        <w:rPr>
          <w:szCs w:val="24"/>
        </w:rPr>
      </w:pPr>
      <w:r w:rsidRPr="39E0B0F2">
        <w:rPr>
          <w:szCs w:val="24"/>
        </w:rPr>
        <w:t xml:space="preserve">The chapter has presented the politics of deference as the </w:t>
      </w:r>
      <w:r w:rsidR="10F11C7B" w:rsidRPr="39E0B0F2">
        <w:rPr>
          <w:szCs w:val="24"/>
        </w:rPr>
        <w:t xml:space="preserve">analytical </w:t>
      </w:r>
      <w:r w:rsidRPr="39E0B0F2">
        <w:rPr>
          <w:szCs w:val="24"/>
        </w:rPr>
        <w:t>framework that links ontological security, memory, and honor.</w:t>
      </w:r>
      <w:r w:rsidR="00745C08" w:rsidRPr="39E0B0F2">
        <w:rPr>
          <w:szCs w:val="24"/>
        </w:rPr>
        <w:t xml:space="preserve"> The hero-protector narrative </w:t>
      </w:r>
      <w:r w:rsidR="4133B49F" w:rsidRPr="39E0B0F2">
        <w:rPr>
          <w:szCs w:val="24"/>
        </w:rPr>
        <w:t xml:space="preserve">captures </w:t>
      </w:r>
      <w:r w:rsidR="00745C08" w:rsidRPr="39E0B0F2">
        <w:rPr>
          <w:szCs w:val="24"/>
        </w:rPr>
        <w:t xml:space="preserve">how Russia presents itself as a morally responsible actor, a guarantor of stability, and a heroic defender of the innocent, while expecting </w:t>
      </w:r>
      <w:r w:rsidR="48AC5F77" w:rsidRPr="39E0B0F2">
        <w:rPr>
          <w:szCs w:val="24"/>
        </w:rPr>
        <w:t>Other</w:t>
      </w:r>
      <w:r w:rsidR="00745C08" w:rsidRPr="39E0B0F2">
        <w:rPr>
          <w:szCs w:val="24"/>
        </w:rPr>
        <w:t xml:space="preserve">s to validate this image through </w:t>
      </w:r>
      <w:r w:rsidR="4383516F" w:rsidRPr="39E0B0F2">
        <w:rPr>
          <w:szCs w:val="24"/>
        </w:rPr>
        <w:t>deference</w:t>
      </w:r>
      <w:r w:rsidR="00745C08" w:rsidRPr="39E0B0F2">
        <w:rPr>
          <w:szCs w:val="24"/>
        </w:rPr>
        <w:t>.</w:t>
      </w:r>
    </w:p>
    <w:p w14:paraId="4976329B" w14:textId="77777777" w:rsidR="00644D8F" w:rsidRDefault="00644D8F" w:rsidP="004F4D91">
      <w:pPr>
        <w:pStyle w:val="Paragrafoelenco"/>
        <w:spacing w:before="176"/>
        <w:ind w:left="283" w:right="420" w:firstLine="360"/>
        <w:rPr>
          <w:szCs w:val="24"/>
        </w:rPr>
      </w:pPr>
    </w:p>
    <w:p w14:paraId="12279A9B" w14:textId="77777777" w:rsidR="00644D8F" w:rsidRDefault="00644D8F" w:rsidP="004F4D91">
      <w:pPr>
        <w:pStyle w:val="Paragrafoelenco"/>
        <w:spacing w:before="176"/>
        <w:ind w:left="283" w:right="420" w:firstLine="360"/>
        <w:rPr>
          <w:szCs w:val="24"/>
        </w:rPr>
      </w:pPr>
    </w:p>
    <w:p w14:paraId="5D4E6683" w14:textId="6D6AFE3B" w:rsidR="00FF4BA0" w:rsidRDefault="00FF4BA0" w:rsidP="00011CBE">
      <w:pPr>
        <w:spacing w:before="176"/>
        <w:ind w:right="420" w:firstLine="0"/>
        <w:rPr>
          <w:szCs w:val="24"/>
        </w:rPr>
      </w:pPr>
    </w:p>
    <w:p w14:paraId="3CA803B6" w14:textId="14A334B6" w:rsidR="00AD4774" w:rsidRDefault="00AD4774" w:rsidP="00011CBE">
      <w:pPr>
        <w:spacing w:before="176"/>
        <w:ind w:right="420" w:firstLine="0"/>
        <w:rPr>
          <w:szCs w:val="24"/>
        </w:rPr>
      </w:pPr>
    </w:p>
    <w:p w14:paraId="5429EA8E" w14:textId="2EF782A6" w:rsidR="00AD4774" w:rsidRDefault="00AD4774" w:rsidP="00011CBE">
      <w:pPr>
        <w:spacing w:before="176"/>
        <w:ind w:right="420" w:firstLine="0"/>
        <w:rPr>
          <w:szCs w:val="24"/>
        </w:rPr>
      </w:pPr>
    </w:p>
    <w:p w14:paraId="685BEAA0" w14:textId="0A591E93" w:rsidR="00AD4774" w:rsidRDefault="00AD4774" w:rsidP="00011CBE">
      <w:pPr>
        <w:spacing w:before="176"/>
        <w:ind w:right="420" w:firstLine="0"/>
        <w:rPr>
          <w:szCs w:val="24"/>
        </w:rPr>
      </w:pPr>
    </w:p>
    <w:p w14:paraId="17F6AC0C" w14:textId="0C8BD65C" w:rsidR="00AD4774" w:rsidRDefault="00AD4774" w:rsidP="00011CBE">
      <w:pPr>
        <w:spacing w:before="176"/>
        <w:ind w:right="420" w:firstLine="0"/>
        <w:rPr>
          <w:szCs w:val="24"/>
        </w:rPr>
      </w:pPr>
    </w:p>
    <w:p w14:paraId="6BAB471C" w14:textId="23B50304" w:rsidR="00AD4774" w:rsidRDefault="00AD4774" w:rsidP="00011CBE">
      <w:pPr>
        <w:spacing w:before="176"/>
        <w:ind w:right="420" w:firstLine="0"/>
        <w:rPr>
          <w:szCs w:val="24"/>
        </w:rPr>
      </w:pPr>
    </w:p>
    <w:p w14:paraId="72417981" w14:textId="62901963" w:rsidR="00AD4774" w:rsidRDefault="00AD4774" w:rsidP="00011CBE">
      <w:pPr>
        <w:spacing w:before="176"/>
        <w:ind w:right="420" w:firstLine="0"/>
        <w:rPr>
          <w:szCs w:val="24"/>
        </w:rPr>
      </w:pPr>
    </w:p>
    <w:p w14:paraId="4D2AC40E" w14:textId="7E92E1AB" w:rsidR="00AD4774" w:rsidRDefault="00AD4774" w:rsidP="00011CBE">
      <w:pPr>
        <w:spacing w:before="176"/>
        <w:ind w:right="420" w:firstLine="0"/>
        <w:rPr>
          <w:szCs w:val="24"/>
        </w:rPr>
      </w:pPr>
    </w:p>
    <w:p w14:paraId="63E8530E" w14:textId="3ABECE39" w:rsidR="00AD4774" w:rsidRDefault="00AD4774" w:rsidP="00011CBE">
      <w:pPr>
        <w:spacing w:before="176"/>
        <w:ind w:right="420" w:firstLine="0"/>
        <w:rPr>
          <w:szCs w:val="24"/>
        </w:rPr>
      </w:pPr>
    </w:p>
    <w:p w14:paraId="44FA4350" w14:textId="00126810" w:rsidR="00AD4774" w:rsidRDefault="00AD4774" w:rsidP="00011CBE">
      <w:pPr>
        <w:spacing w:before="176"/>
        <w:ind w:right="420" w:firstLine="0"/>
        <w:rPr>
          <w:szCs w:val="24"/>
        </w:rPr>
      </w:pPr>
    </w:p>
    <w:p w14:paraId="5D2EDD2A" w14:textId="3CBD5F5B" w:rsidR="00AD4774" w:rsidRDefault="00AD4774" w:rsidP="00011CBE">
      <w:pPr>
        <w:spacing w:before="176"/>
        <w:ind w:right="420" w:firstLine="0"/>
        <w:rPr>
          <w:szCs w:val="24"/>
        </w:rPr>
      </w:pPr>
    </w:p>
    <w:p w14:paraId="480004FE" w14:textId="77777777" w:rsidR="00AD4774" w:rsidRPr="004F4D91" w:rsidRDefault="00AD4774" w:rsidP="00011CBE">
      <w:pPr>
        <w:spacing w:before="176"/>
        <w:ind w:right="420" w:firstLine="0"/>
        <w:rPr>
          <w:szCs w:val="24"/>
        </w:rPr>
      </w:pPr>
    </w:p>
    <w:p w14:paraId="4702E9A2" w14:textId="6D716134" w:rsidR="00CA3A91" w:rsidRPr="00011CBE" w:rsidRDefault="00644D8F" w:rsidP="00011CBE">
      <w:pPr>
        <w:pStyle w:val="Titolo1"/>
      </w:pPr>
      <w:bookmarkStart w:id="24" w:name="_Toc215742640"/>
      <w:r>
        <w:t xml:space="preserve">3. Literature </w:t>
      </w:r>
      <w:r w:rsidR="00D729CA">
        <w:t>R</w:t>
      </w:r>
      <w:r>
        <w:t>eview</w:t>
      </w:r>
      <w:bookmarkEnd w:id="24"/>
    </w:p>
    <w:p w14:paraId="039FAEA2" w14:textId="0BD6B5A3" w:rsidR="00504047" w:rsidRPr="00E24034" w:rsidRDefault="00504047" w:rsidP="00BB0177">
      <w:pPr>
        <w:pStyle w:val="Titolo2"/>
        <w:ind w:firstLine="283"/>
      </w:pPr>
      <w:bookmarkStart w:id="25" w:name="_Toc215742641"/>
      <w:r>
        <w:t>Introduction</w:t>
      </w:r>
      <w:bookmarkEnd w:id="25"/>
    </w:p>
    <w:p w14:paraId="707F7D38" w14:textId="485A20BA" w:rsidR="00644D8F" w:rsidRPr="00241B83" w:rsidRDefault="00644D8F" w:rsidP="004F4D91">
      <w:pPr>
        <w:widowControl/>
        <w:autoSpaceDE/>
        <w:autoSpaceDN/>
        <w:spacing w:before="176"/>
        <w:ind w:left="283" w:right="420" w:firstLine="360"/>
        <w:contextualSpacing/>
        <w:rPr>
          <w:szCs w:val="24"/>
        </w:rPr>
      </w:pPr>
      <w:r w:rsidRPr="00241B83">
        <w:rPr>
          <w:szCs w:val="24"/>
        </w:rPr>
        <w:t xml:space="preserve">Before introducing this chapter, I present two illustrative quotes that resonate from distinct moments in Russia’s historical timeline. The first comes from one of Russia's and humanity's greatest writers, Fyodor Dostoevsky, who reflected on the Russian Empire's engagement in the Russo–Turkish War of 1877–1878: </w:t>
      </w:r>
    </w:p>
    <w:p w14:paraId="5116742A" w14:textId="302DD731" w:rsidR="00644D8F" w:rsidRPr="00644D8F" w:rsidRDefault="00644D8F" w:rsidP="004F4D91">
      <w:pPr>
        <w:pStyle w:val="Paragrafoelenco"/>
        <w:spacing w:before="176"/>
        <w:ind w:left="283" w:right="420" w:firstLine="360"/>
        <w:jc w:val="center"/>
        <w:rPr>
          <w:sz w:val="20"/>
          <w:szCs w:val="20"/>
        </w:rPr>
      </w:pPr>
      <w:r w:rsidRPr="00644D8F">
        <w:rPr>
          <w:sz w:val="20"/>
          <w:szCs w:val="20"/>
        </w:rPr>
        <w:t>“Why should Russia assume such a task? What for? In order to pursue a superior, great life; in order to shine to the world with a great, disinterested, and pure idea; in order to create, at length, a great and mighty organism of a brotherly union of nations; to create this organism not by means of political violence, not by the sword, but by persuasion, example, love, disinterestedness, and by light; to elevate those little ones to our level, so that they shall perceive in Russia her motherly mission” (Sandoz 1978, 651).</w:t>
      </w:r>
    </w:p>
    <w:p w14:paraId="11DF403B" w14:textId="61D9319A" w:rsidR="00644D8F" w:rsidRPr="00644D8F" w:rsidRDefault="00644D8F" w:rsidP="004F4D91">
      <w:pPr>
        <w:pStyle w:val="Paragrafoelenco"/>
        <w:spacing w:before="176"/>
        <w:ind w:left="283" w:right="420" w:firstLine="360"/>
        <w:rPr>
          <w:szCs w:val="24"/>
        </w:rPr>
      </w:pPr>
      <w:r w:rsidRPr="00644D8F">
        <w:rPr>
          <w:szCs w:val="24"/>
        </w:rPr>
        <w:t xml:space="preserve">The second was articulated by then-Russian President Dmitry Medvedev in August 2008, during a televised address to the Russian population in which he explained the rationale behind the Kremlin's military intervention in Georgia. </w:t>
      </w:r>
    </w:p>
    <w:p w14:paraId="42FED0AA" w14:textId="1FE64FAF" w:rsidR="00644D8F" w:rsidRPr="00644D8F" w:rsidRDefault="00644D8F" w:rsidP="004F4D91">
      <w:pPr>
        <w:pStyle w:val="Paragrafoelenco"/>
        <w:spacing w:before="176"/>
        <w:ind w:left="283" w:right="420" w:firstLine="360"/>
        <w:jc w:val="center"/>
        <w:rPr>
          <w:sz w:val="20"/>
          <w:szCs w:val="20"/>
        </w:rPr>
      </w:pPr>
      <w:r w:rsidRPr="00644D8F">
        <w:rPr>
          <w:sz w:val="20"/>
          <w:szCs w:val="20"/>
        </w:rPr>
        <w:t>“Our key task is to maintain peace. Russia historically was and will be a guarantor of security of the Caucasian people” (Medvedev</w:t>
      </w:r>
      <w:r>
        <w:rPr>
          <w:sz w:val="20"/>
          <w:szCs w:val="20"/>
        </w:rPr>
        <w:t xml:space="preserve"> in CivilGe</w:t>
      </w:r>
      <w:r w:rsidRPr="00644D8F">
        <w:rPr>
          <w:sz w:val="20"/>
          <w:szCs w:val="20"/>
        </w:rPr>
        <w:t xml:space="preserve"> 2008).</w:t>
      </w:r>
    </w:p>
    <w:p w14:paraId="1267D1BB" w14:textId="40DE180E" w:rsidR="00644D8F" w:rsidRPr="00644D8F" w:rsidRDefault="00644D8F" w:rsidP="004F4D91">
      <w:pPr>
        <w:pStyle w:val="Paragrafoelenco"/>
        <w:spacing w:before="176"/>
        <w:ind w:left="283" w:right="420" w:firstLine="360"/>
        <w:rPr>
          <w:szCs w:val="24"/>
        </w:rPr>
      </w:pPr>
      <w:r w:rsidRPr="00644D8F">
        <w:rPr>
          <w:szCs w:val="24"/>
        </w:rPr>
        <w:t xml:space="preserve">I chose to include these quotations at the beginning of this chapter because, despite being separated by more than a century, expressed by two entirely different figures, and delivered in markedly different tones, both passages articulate a sense of moral purpose and responsibility toward Russia’s neighbors that, according to my study, lies at the heart of the Kremlin’s quest for ontological security. </w:t>
      </w:r>
    </w:p>
    <w:p w14:paraId="0D7E2CB0" w14:textId="4E8455B8" w:rsidR="00644D8F" w:rsidRPr="00644D8F" w:rsidRDefault="00644D8F" w:rsidP="004F4D91">
      <w:pPr>
        <w:pStyle w:val="Paragrafoelenco"/>
        <w:spacing w:before="176"/>
        <w:ind w:left="283" w:right="420" w:firstLine="360"/>
        <w:rPr>
          <w:szCs w:val="24"/>
        </w:rPr>
      </w:pPr>
      <w:r w:rsidRPr="00644D8F">
        <w:rPr>
          <w:szCs w:val="24"/>
        </w:rPr>
        <w:t xml:space="preserve">In fact, as previously mentioned, this dissertation is based on two fundamental assumptions. First, Russian actors have been engaged in an ongoing effort to restore the existential meaningfulness of their country, i.e., a quest for ontological security, that was disrupted by the collapse of the Soviet Union. Second, within the realm of the Nagorno-Karabakh conflict, this endeavor was shaped by their interpretation of the Tsarist past in the Caucasus and manifested in a politics of deference toward Armenia. </w:t>
      </w:r>
    </w:p>
    <w:p w14:paraId="5A172B60" w14:textId="74EC43FC" w:rsidR="00644D8F" w:rsidRPr="00644D8F" w:rsidRDefault="00644D8F" w:rsidP="004F4D91">
      <w:pPr>
        <w:pStyle w:val="Paragrafoelenco"/>
        <w:spacing w:before="176"/>
        <w:ind w:left="283" w:right="420" w:firstLine="360"/>
        <w:rPr>
          <w:szCs w:val="24"/>
        </w:rPr>
      </w:pPr>
      <w:r w:rsidRPr="00644D8F">
        <w:rPr>
          <w:szCs w:val="24"/>
        </w:rPr>
        <w:t xml:space="preserve">Nonetheless, prior to demonstrating how Russia's ontological concerns manifested in the Nagorno-Karabakh conflict, it is crucial to develop a comprehensive understanding of the Armenian-Azerbaijani dispute itself, as well as of the scholarly literature on Russian foreign policy that has examined its pursuit of ontological security. Lacking this essential background, it proves difficult to situate my research within the constructivist paradigm of Russian foreign policy and to fully appreciate the contributions of this dissertation. </w:t>
      </w:r>
    </w:p>
    <w:p w14:paraId="6A46B443" w14:textId="5344603A" w:rsidR="00644D8F" w:rsidRPr="00644D8F" w:rsidRDefault="00644D8F" w:rsidP="004F4D91">
      <w:pPr>
        <w:pStyle w:val="Paragrafoelenco"/>
        <w:spacing w:before="176"/>
        <w:ind w:left="283" w:right="420" w:firstLine="360"/>
        <w:rPr>
          <w:szCs w:val="24"/>
        </w:rPr>
      </w:pPr>
      <w:r w:rsidRPr="00644D8F">
        <w:rPr>
          <w:szCs w:val="24"/>
        </w:rPr>
        <w:t xml:space="preserve">In order to fulfill this goal, the present chapter is divided into two parts. The first, after briefly contextualizing the Nagorno-Karabakh conflict, examines how existing scholarship has analyzed Russia’s role, showing that both before and after the events of September 2023, most scholarly and non-scholarly accounts have relied primarily on outcome-based explanations to examine its practices in the conflict. The second part turns to the so-called “constructivist turn to Russian foreign policy” and considers how the three concepts underlying my theoretical framework have been employed to date in assessing the Kremlin’s security practices. </w:t>
      </w:r>
    </w:p>
    <w:p w14:paraId="26F91009" w14:textId="7C178293" w:rsidR="00644D8F" w:rsidRPr="00644D8F" w:rsidRDefault="00644D8F" w:rsidP="00BB0177">
      <w:pPr>
        <w:pStyle w:val="Titolo2"/>
        <w:ind w:firstLine="283"/>
      </w:pPr>
      <w:bookmarkStart w:id="26" w:name="_Toc215742642"/>
      <w:r>
        <w:t xml:space="preserve">3.1. </w:t>
      </w:r>
      <w:r w:rsidRPr="00644D8F">
        <w:t xml:space="preserve">The Nagorno-Karabakh </w:t>
      </w:r>
      <w:r w:rsidR="00D729CA">
        <w:t>C</w:t>
      </w:r>
      <w:r w:rsidRPr="00644D8F">
        <w:t>onflict</w:t>
      </w:r>
      <w:bookmarkEnd w:id="26"/>
    </w:p>
    <w:p w14:paraId="32273141" w14:textId="77777777" w:rsidR="00481BF0" w:rsidRDefault="00644D8F" w:rsidP="00481BF0">
      <w:pPr>
        <w:pStyle w:val="Paragrafoelenco"/>
        <w:keepNext/>
        <w:spacing w:before="176"/>
        <w:ind w:left="283" w:right="420" w:firstLine="360"/>
      </w:pPr>
      <w:r>
        <w:rPr>
          <w:noProof/>
        </w:rPr>
        <w:drawing>
          <wp:inline distT="0" distB="0" distL="0" distR="0" wp14:anchorId="3A1DA9B3" wp14:editId="01DF3030">
            <wp:extent cx="4702628" cy="4344422"/>
            <wp:effectExtent l="0" t="0" r="3175" b="0"/>
            <wp:docPr id="5" name="Immagine 5" descr="C:\Users\morena.cuconato\AppData\Local\Microsoft\Windows\INetCache\Content.MSO\4A5E0AD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orena.cuconato\AppData\Local\Microsoft\Windows\INetCache\Content.MSO\4A5E0AD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1746" cy="4352845"/>
                    </a:xfrm>
                    <a:prstGeom prst="rect">
                      <a:avLst/>
                    </a:prstGeom>
                    <a:noFill/>
                    <a:ln>
                      <a:noFill/>
                    </a:ln>
                  </pic:spPr>
                </pic:pic>
              </a:graphicData>
            </a:graphic>
          </wp:inline>
        </w:drawing>
      </w:r>
    </w:p>
    <w:p w14:paraId="6A99E49F" w14:textId="7C57A2F2" w:rsidR="00644D8F" w:rsidRPr="00481BF0" w:rsidRDefault="00481BF0" w:rsidP="00481BF0">
      <w:pPr>
        <w:pStyle w:val="Didascalia"/>
        <w:jc w:val="center"/>
        <w:rPr>
          <w:color w:val="auto"/>
          <w:sz w:val="20"/>
          <w:szCs w:val="20"/>
        </w:rPr>
      </w:pPr>
      <w:bookmarkStart w:id="27" w:name="_Toc215742703"/>
      <w:r w:rsidRPr="00481BF0">
        <w:rPr>
          <w:color w:val="auto"/>
          <w:sz w:val="20"/>
          <w:szCs w:val="20"/>
        </w:rPr>
        <w:t xml:space="preserve">Map </w:t>
      </w:r>
      <w:r w:rsidRPr="00481BF0">
        <w:rPr>
          <w:color w:val="auto"/>
          <w:sz w:val="20"/>
          <w:szCs w:val="20"/>
        </w:rPr>
        <w:fldChar w:fldCharType="begin"/>
      </w:r>
      <w:r w:rsidRPr="00481BF0">
        <w:rPr>
          <w:color w:val="auto"/>
          <w:sz w:val="20"/>
          <w:szCs w:val="20"/>
        </w:rPr>
        <w:instrText xml:space="preserve"> SEQ Map \* ARABIC </w:instrText>
      </w:r>
      <w:r w:rsidRPr="00481BF0">
        <w:rPr>
          <w:color w:val="auto"/>
          <w:sz w:val="20"/>
          <w:szCs w:val="20"/>
        </w:rPr>
        <w:fldChar w:fldCharType="separate"/>
      </w:r>
      <w:r w:rsidR="00B12E3E">
        <w:rPr>
          <w:noProof/>
          <w:color w:val="auto"/>
          <w:sz w:val="20"/>
          <w:szCs w:val="20"/>
        </w:rPr>
        <w:t>1</w:t>
      </w:r>
      <w:r w:rsidRPr="00481BF0">
        <w:rPr>
          <w:color w:val="auto"/>
          <w:sz w:val="20"/>
          <w:szCs w:val="20"/>
        </w:rPr>
        <w:fldChar w:fldCharType="end"/>
      </w:r>
      <w:r w:rsidRPr="00481BF0">
        <w:rPr>
          <w:color w:val="auto"/>
          <w:sz w:val="20"/>
          <w:szCs w:val="20"/>
        </w:rPr>
        <w:t>: Armenia, Azerbaijan, and Nagorno-Karabakh. (Source: the Author through Datawrapper).</w:t>
      </w:r>
      <w:bookmarkEnd w:id="27"/>
    </w:p>
    <w:p w14:paraId="55E7FBA2" w14:textId="2EB53992" w:rsidR="00644D8F" w:rsidRPr="00644D8F" w:rsidRDefault="00644D8F" w:rsidP="004F4D91">
      <w:pPr>
        <w:pStyle w:val="Paragrafoelenco"/>
        <w:spacing w:before="176"/>
        <w:ind w:left="283" w:right="420" w:firstLine="360"/>
        <w:rPr>
          <w:szCs w:val="24"/>
        </w:rPr>
      </w:pPr>
      <w:r w:rsidRPr="00644D8F">
        <w:rPr>
          <w:szCs w:val="24"/>
        </w:rPr>
        <w:t xml:space="preserve">Nagorno-Karabakh is a highland territory in the southeastern part of the Lesser Caucasus Mountain range, nestled between Azerbaijan's Lower Karabakh and Armenia's Syunik regions. While the term "Nagorno" stems from the Russian adjective "nagorny" (нагорный), which translates to "mountainous," "Karabakh" is believed to derive from a combination of the Turkic word "kara," meaning "black," and the Persian word "bagh," meaning "garden" (De Waal 2019, 102). </w:t>
      </w:r>
    </w:p>
    <w:p w14:paraId="77EAFE8E" w14:textId="1D7E1444" w:rsidR="00644D8F" w:rsidRPr="00644D8F" w:rsidRDefault="00644D8F" w:rsidP="004F4D91">
      <w:pPr>
        <w:pStyle w:val="Paragrafoelenco"/>
        <w:spacing w:before="176"/>
        <w:ind w:left="283" w:right="420" w:firstLine="360"/>
        <w:rPr>
          <w:szCs w:val="24"/>
        </w:rPr>
      </w:pPr>
      <w:r w:rsidRPr="00644D8F">
        <w:rPr>
          <w:szCs w:val="24"/>
        </w:rPr>
        <w:t xml:space="preserve">Azerbaijanis refer to both Nagorno-Karabakh and Lower Karabakh simply as “Karabakh” (Qarabağ in Azerbaijani), viewing these two regions as a single, indivisible entity (Broers 2019, 85). In contrast, Armenians identify this territory using either the Russian designation or the name "Artsakh" (Արցախ). This term has its origins in a province of the ancient Kingdom of Greater Armenia, dating back to the fourth century BC (Libaridyan 2017). </w:t>
      </w:r>
    </w:p>
    <w:p w14:paraId="23C1B330" w14:textId="77777777" w:rsidR="00241B83" w:rsidRDefault="00644D8F" w:rsidP="004F4D91">
      <w:pPr>
        <w:pStyle w:val="Paragrafoelenco"/>
        <w:spacing w:before="176"/>
        <w:ind w:left="283" w:right="420" w:firstLine="360"/>
        <w:rPr>
          <w:szCs w:val="24"/>
        </w:rPr>
      </w:pPr>
      <w:r w:rsidRPr="00644D8F">
        <w:rPr>
          <w:szCs w:val="24"/>
        </w:rPr>
        <w:t xml:space="preserve">Despite its small size, Nagorno-Karabakh holds profound cultural and symbolic significance for both Armenians and Azerbaijanis. De Waal (2013, 3) notes that Armenians have viewed this region as the heart of their Christian civilization, emphasizing how medieval monasteries such as Gandzasar, Amaras, Dadivank, Tsitsernavank, and Gtichvank historically served as refuges for Armenian dignitaries and religious figures. Azerbaijanis, on the other hand, see it as the beginning of their cultural heritage. They celebrate it as the birthplace of famous musicians like composer Uzeyir Hajibeyov (1885–1948) and operatic tenor Bulbul (1897–1961), as well as poets like Vagif (1717–1797) and Natavan (1832–1897). </w:t>
      </w:r>
    </w:p>
    <w:p w14:paraId="474238C7" w14:textId="5877B7EC" w:rsidR="00644D8F" w:rsidRPr="00241B83" w:rsidRDefault="00644D8F" w:rsidP="004F4D91">
      <w:pPr>
        <w:pStyle w:val="Paragrafoelenco"/>
        <w:spacing w:before="176"/>
        <w:ind w:left="283" w:right="420" w:firstLine="360"/>
        <w:rPr>
          <w:szCs w:val="24"/>
        </w:rPr>
      </w:pPr>
      <w:r w:rsidRPr="00241B83">
        <w:rPr>
          <w:szCs w:val="24"/>
        </w:rPr>
        <w:t xml:space="preserve">Historical assertions may imply that the Nagorno-Karabakh conflict has deeper roots. However, the ethnic strife between Armenians and Azerbaijanis is a phenomenon of the twentieth century (Saparov 2014, 89). The first outbreak of violence happened between 1905 and 1907. It was caused by the Tsarist Empire losing power and new national movements starting in the late 1800s (De Waal 2019, 105). The second wave of conflict arose after the collapse of the Russian Empire in 1917, when independent Armenian and Azerbaijani republics emerged for the first time. Following a brief period of cooperation under the Transcaucasian Federation, tensions escalated as the two states clashed over control of mixed-population areas, including Nakhichevan, Zangezur/Syunik, and Karabakh, from 1918 to 1920 (Saparov 2014, 90). </w:t>
      </w:r>
      <w:r w:rsidR="00DC5CA2">
        <w:rPr>
          <w:rStyle w:val="Rimandonotaapidipagina"/>
          <w:szCs w:val="24"/>
        </w:rPr>
        <w:footnoteReference w:id="7"/>
      </w:r>
    </w:p>
    <w:p w14:paraId="6CC105E9" w14:textId="0057EA8C" w:rsidR="00644D8F" w:rsidRPr="00644D8F" w:rsidRDefault="00644D8F" w:rsidP="004F4D91">
      <w:pPr>
        <w:pStyle w:val="Paragrafoelenco"/>
        <w:spacing w:before="176"/>
        <w:ind w:left="283" w:right="420" w:firstLine="360"/>
        <w:rPr>
          <w:szCs w:val="24"/>
        </w:rPr>
      </w:pPr>
      <w:r w:rsidRPr="00644D8F">
        <w:rPr>
          <w:szCs w:val="24"/>
        </w:rPr>
        <w:t xml:space="preserve">In 1920, the Bolsheviks took control of the South Caucasus. Faced with the challenge of defining the administrative status of these territories, the Soviet leadership ultimately decided to place Nagorno-Karabakh under Azerbaijani jurisdiction. By 1923, this region, where 89% of the population was Armenian, was designated as an autonomous region (NKAO) within the Azerbaijan Soviet Socialist Republic (SSR) (Pokalova 2015, 72). Furthermore, Moscow established borders in such a way as to prevent direct physical contact between the NKAO and Soviet Armenia, with the 5 km long Lachin corridor serving as a buffer zone between the two (De Waal 2019, 106). The administrative capital of this autonomous region was set in the town of Stepanakert, named in honor of the Armenian Bolshevik Stepan Shaumyan. </w:t>
      </w:r>
    </w:p>
    <w:p w14:paraId="34EBC3E5" w14:textId="11FBAC70" w:rsidR="00644D8F" w:rsidRPr="00644D8F" w:rsidRDefault="00644D8F" w:rsidP="004F4D91">
      <w:pPr>
        <w:pStyle w:val="Paragrafoelenco"/>
        <w:spacing w:before="176"/>
        <w:ind w:left="283" w:right="420" w:firstLine="360"/>
        <w:rPr>
          <w:szCs w:val="24"/>
        </w:rPr>
      </w:pPr>
      <w:r w:rsidRPr="00644D8F">
        <w:rPr>
          <w:szCs w:val="24"/>
        </w:rPr>
        <w:t xml:space="preserve">In 1945, 1965, and 1977, Karabakh Armenians submitted petitions to Moscow, complaining about various forms of social discrimination and economic neglect (Shnirelman 2001, 183). Among these grievances were the disproportionate allocation of financial resources to villages with Azeri majorities, the closure of Armenian churches, the limited availability of Armenian-language books and media, the absence of Armenian history in schools, and linguistic marginalization (De Waal 2019, 106). They also lamented an unfavorable demographic shift during the Soviet era, which had seen a significant change in the population balance between Armenians and Azerbaijanis, favoring the latter (Shnirelman 2001, 184). Nonetheless, Soviet authorities managed to control tensions between the two communities. It was only in the wake of democratization policies launched in 1987 by Soviet leader Mikhail Gorbachev that the First Karabakh War began (Saparov 2014, 94). </w:t>
      </w:r>
    </w:p>
    <w:p w14:paraId="15FBCF31" w14:textId="4AEE4380" w:rsidR="00644D8F" w:rsidRPr="00644D8F" w:rsidRDefault="00644D8F" w:rsidP="00BB0177">
      <w:pPr>
        <w:pStyle w:val="Titolo2"/>
        <w:ind w:firstLine="283"/>
      </w:pPr>
      <w:bookmarkStart w:id="28" w:name="_Toc215742643"/>
      <w:r>
        <w:t xml:space="preserve">3.1.1. </w:t>
      </w:r>
      <w:r w:rsidRPr="00644D8F">
        <w:t xml:space="preserve">The </w:t>
      </w:r>
      <w:r w:rsidR="00D729CA">
        <w:t>F</w:t>
      </w:r>
      <w:r>
        <w:t xml:space="preserve">irst </w:t>
      </w:r>
      <w:r w:rsidR="00D729CA">
        <w:t>W</w:t>
      </w:r>
      <w:r>
        <w:t>ar (1988-1994)</w:t>
      </w:r>
      <w:bookmarkEnd w:id="28"/>
    </w:p>
    <w:p w14:paraId="07B7CDE4" w14:textId="149B5B42" w:rsidR="00644D8F" w:rsidRPr="00D15BE1" w:rsidRDefault="00644D8F" w:rsidP="00D15BE1">
      <w:pPr>
        <w:pStyle w:val="Paragrafoelenco"/>
        <w:spacing w:before="176"/>
        <w:ind w:left="283" w:right="420" w:firstLine="360"/>
        <w:rPr>
          <w:szCs w:val="24"/>
        </w:rPr>
      </w:pPr>
      <w:r w:rsidRPr="00644D8F">
        <w:rPr>
          <w:szCs w:val="24"/>
        </w:rPr>
        <w:t xml:space="preserve">In 1988, the NKAO parliament called for the region's transfer from Soviet Azerbaijan to Soviet Armenia. As soon as the Soviet Union crumbled, Karabakh Armenians declared independence. The ensuing full-scale war between Azerbaijan and the defense forces of the breakaway republic of Nagorno-Karabakh, supported by Armenia, persisted until 1994, when Russia brokered a ceasefire agreement commonly known as the “Bishkek Protocol.” </w:t>
      </w:r>
    </w:p>
    <w:p w14:paraId="2312B026" w14:textId="46C13491" w:rsidR="00644D8F" w:rsidRPr="00241B83" w:rsidRDefault="00644D8F" w:rsidP="004F4D91">
      <w:pPr>
        <w:pStyle w:val="Paragrafoelenco"/>
        <w:spacing w:before="176"/>
        <w:ind w:left="283" w:right="420" w:firstLine="360"/>
        <w:rPr>
          <w:szCs w:val="24"/>
        </w:rPr>
      </w:pPr>
      <w:r w:rsidRPr="00644D8F">
        <w:rPr>
          <w:szCs w:val="24"/>
        </w:rPr>
        <w:t>By that time, Armenian forces had captured nearly the entirety of the former NKAO, along with seven adjacent Azerbaijani regions, including Lachin, Kelbajar, Jabrayil, Gubadly, Zangilan, and significant portions of Agdam and Fizuli. The First Karabakh War was characterized by severe violence on both sides, including the pogroms against Armenians in Sumgait and Baku in 1988, the Operation Ring (Koltso/Кольцо) in 1991, which resulted in the forced expulsion of Armenians from villages in Nagorno-Karabakh, and the Khojaly massacre of Azerbaijanis in 1992. In total, there were approximately 20,000 casualties, and over a million people were displaced as a result of the conflict (De Waal 2019, 99). Those affected included Armenians who had to leave Azerbaijan and Azerbaijanis fleeing Nagorno-Karabakh and its surrounding areas.</w:t>
      </w:r>
    </w:p>
    <w:p w14:paraId="5679821D" w14:textId="13E7B63A" w:rsidR="00644D8F" w:rsidRPr="00241B83" w:rsidRDefault="00644D8F" w:rsidP="004F4D91">
      <w:pPr>
        <w:pStyle w:val="Paragrafoelenco"/>
        <w:spacing w:before="176"/>
        <w:ind w:left="283" w:right="420" w:firstLine="360"/>
        <w:rPr>
          <w:szCs w:val="24"/>
        </w:rPr>
      </w:pPr>
      <w:r w:rsidRPr="00644D8F">
        <w:rPr>
          <w:szCs w:val="24"/>
        </w:rPr>
        <w:t>At the same time, the United Nations (UN) passed resolutions 822, 853, 874, and 884, which condemned the occupation of Azerbaijani land and called for its return. However, these resolutions stopped short of explicitly designating the conflict as an interstate war between Armenia and Azerbaijan, and they did not formally recognize Armenia as an aggressor state (Cornell 2001). De Waal (2013, 210-212) observes that, in addition to the economic and logistical support provided to Stepanakert by Yerevan during the conflict, units from the regular Armenian army were actively engaged in the hostilities, despite their involvement being unofficial and not requiring government approval.</w:t>
      </w:r>
    </w:p>
    <w:p w14:paraId="17696211" w14:textId="7BEA2543" w:rsidR="00644D8F" w:rsidRDefault="00644D8F" w:rsidP="004F4D91">
      <w:pPr>
        <w:pStyle w:val="Paragrafoelenco"/>
        <w:spacing w:before="176"/>
        <w:ind w:left="283" w:right="420" w:firstLine="360"/>
        <w:rPr>
          <w:szCs w:val="24"/>
        </w:rPr>
      </w:pPr>
      <w:r w:rsidRPr="00644D8F">
        <w:rPr>
          <w:szCs w:val="24"/>
        </w:rPr>
        <w:t xml:space="preserve">From that time until September 2023, Nagorno-Karabakh operated as a de facto independent republic, functioning outside Azerbaijani governance, even though no UN member, including Armenia, officially acknowledged its independence. Furthermore, until 2020, the defense army of Nagorno-Karabakh continued to exert control, either entirely or partially, over the seven Azerbaijani districts in Azerbaijan surrounding the enclave. The Nagorno-Karabakh authorities justified the occupation of these areas, marked by devastated towns and abandoned villages, as a necessary measure to establish a "buffer zone" or "security belt" (Broers 2019; De Waal 2019). </w:t>
      </w:r>
    </w:p>
    <w:p w14:paraId="0BDB0DC3" w14:textId="718D1ADC" w:rsidR="00241B83" w:rsidRDefault="00241B83" w:rsidP="00BB0177">
      <w:pPr>
        <w:pStyle w:val="Titolo2"/>
        <w:ind w:firstLine="283"/>
      </w:pPr>
      <w:bookmarkStart w:id="29" w:name="_Toc215742644"/>
      <w:r>
        <w:t xml:space="preserve">3.1.2.  </w:t>
      </w:r>
      <w:r w:rsidRPr="00644D8F">
        <w:t xml:space="preserve">The </w:t>
      </w:r>
      <w:r w:rsidR="00D729CA">
        <w:t>I</w:t>
      </w:r>
      <w:r>
        <w:t xml:space="preserve">nterwar </w:t>
      </w:r>
      <w:r w:rsidR="00D729CA">
        <w:t>P</w:t>
      </w:r>
      <w:r>
        <w:t>eriod (1995-2019)</w:t>
      </w:r>
      <w:bookmarkEnd w:id="29"/>
    </w:p>
    <w:p w14:paraId="7440056A" w14:textId="77777777" w:rsidR="00241B83" w:rsidRDefault="00644D8F" w:rsidP="004F4D91">
      <w:pPr>
        <w:spacing w:before="176"/>
        <w:ind w:left="283" w:right="420" w:firstLine="360"/>
        <w:rPr>
          <w:szCs w:val="24"/>
        </w:rPr>
      </w:pPr>
      <w:r w:rsidRPr="00241B83">
        <w:rPr>
          <w:szCs w:val="24"/>
        </w:rPr>
        <w:t>During this phase, the Nagorno-Karabakh conflict was frequently described as being in a</w:t>
      </w:r>
      <w:r w:rsidR="00241B83">
        <w:rPr>
          <w:szCs w:val="24"/>
        </w:rPr>
        <w:t xml:space="preserve"> </w:t>
      </w:r>
      <w:r w:rsidRPr="00241B83">
        <w:rPr>
          <w:szCs w:val="24"/>
        </w:rPr>
        <w:t>state of "no war, no peace" (Pokalova 2015; Broers 2019). In fact, although the ceasefire established in 1994 created a military stalemate, it failed to produce a political resolution between Armenia and Azerbaijan (Cornell 2017, 3). Various initiatives were proposed to address this issue. The OSCE Minsk Group, established in 1992 and led by a permanent troika of France, Russia, and the United States since 1997, put forward several initial principles for resolving the conflict at the OSCE Lisbon Summit in December 1996.</w:t>
      </w:r>
    </w:p>
    <w:p w14:paraId="174A60C7" w14:textId="77777777" w:rsidR="00241B83" w:rsidRDefault="00644D8F" w:rsidP="004F4D91">
      <w:pPr>
        <w:spacing w:before="176"/>
        <w:ind w:left="283" w:right="420" w:firstLine="360"/>
        <w:rPr>
          <w:szCs w:val="24"/>
        </w:rPr>
      </w:pPr>
      <w:r w:rsidRPr="00241B83">
        <w:rPr>
          <w:szCs w:val="24"/>
        </w:rPr>
        <w:t>These principles included recognizing the territorial integrity of Armenia and Azerbaijan, affirming the legal status of Nagorno-Karabakh based on the principle of self-determination, and ensuring security for the region and its inhabitants (Pokalova 2015, 74).</w:t>
      </w:r>
    </w:p>
    <w:p w14:paraId="6595A563" w14:textId="77777777" w:rsidR="00241B83" w:rsidRDefault="00644D8F" w:rsidP="004F4D91">
      <w:pPr>
        <w:spacing w:before="176"/>
        <w:ind w:left="283" w:right="420" w:firstLine="360"/>
        <w:rPr>
          <w:szCs w:val="24"/>
        </w:rPr>
      </w:pPr>
      <w:r w:rsidRPr="00241B83">
        <w:rPr>
          <w:szCs w:val="24"/>
        </w:rPr>
        <w:t>While all parties involved in the conflict accepted the resolution based on these principles, Armenia did not.</w:t>
      </w:r>
    </w:p>
    <w:p w14:paraId="15F62FBB" w14:textId="6AF0B492" w:rsidR="00241B83" w:rsidRDefault="00644D8F" w:rsidP="004F4D91">
      <w:pPr>
        <w:spacing w:before="176"/>
        <w:ind w:left="283" w:right="420" w:firstLine="360"/>
        <w:rPr>
          <w:szCs w:val="24"/>
        </w:rPr>
      </w:pPr>
      <w:r w:rsidRPr="00241B83">
        <w:rPr>
          <w:szCs w:val="24"/>
        </w:rPr>
        <w:t>One year later, the Minsk Group presented two proposals for a peaceful resolution of the</w:t>
      </w:r>
      <w:r w:rsidR="00241B83">
        <w:rPr>
          <w:szCs w:val="24"/>
        </w:rPr>
        <w:t xml:space="preserve"> </w:t>
      </w:r>
      <w:r w:rsidRPr="00241B83">
        <w:rPr>
          <w:szCs w:val="24"/>
        </w:rPr>
        <w:t>conflict. The first was a "package" proposal, which was divided into two parts. Agreement I addressed the cessation of hostilities, and Agreement II addressed the status of the territory, proposing that Nagorno-Karabakh would be recognized as a state-territorial entity within Azerbaijan, with self-determination rights guaranteed by both entities' constitutions. It also called for the establishment of a buffer zone and the deployment of OSCE peacekeeping forces.</w:t>
      </w:r>
    </w:p>
    <w:p w14:paraId="5D898432" w14:textId="19C2292F" w:rsidR="00241B83" w:rsidRDefault="00644D8F" w:rsidP="004F4D91">
      <w:pPr>
        <w:spacing w:before="176"/>
        <w:ind w:left="283" w:right="420" w:firstLine="360"/>
        <w:rPr>
          <w:szCs w:val="24"/>
        </w:rPr>
      </w:pPr>
      <w:r w:rsidRPr="14018526">
        <w:rPr>
          <w:szCs w:val="24"/>
        </w:rPr>
        <w:t xml:space="preserve">The second proposal outlined a "step-by-step" approach that called for the withdrawal of armed troops from the line of contact, followed by negotiations among the three parties to determine the future status of Nagorno-Karabakh (Broers 2019, 43). According to the agreement, the second phase would only be implemented after the first phase was successfully completed, which included Azerbaijan regaining control of the occupied districts. </w:t>
      </w:r>
      <w:r w:rsidR="75A9E801" w:rsidRPr="14018526">
        <w:rPr>
          <w:szCs w:val="24"/>
        </w:rPr>
        <w:t>Ultimately, the Nagorno-Karabakh authorities rejected both the package and the</w:t>
      </w:r>
      <w:r w:rsidRPr="14018526">
        <w:rPr>
          <w:szCs w:val="24"/>
        </w:rPr>
        <w:t xml:space="preserve"> step-by-step proposals (Pokalova 2015, 74).</w:t>
      </w:r>
    </w:p>
    <w:p w14:paraId="49EB894A" w14:textId="77777777" w:rsidR="00241B83" w:rsidRDefault="00644D8F" w:rsidP="004F4D91">
      <w:pPr>
        <w:spacing w:before="176"/>
        <w:ind w:left="283" w:right="420" w:firstLine="360"/>
        <w:rPr>
          <w:szCs w:val="24"/>
        </w:rPr>
      </w:pPr>
      <w:r w:rsidRPr="00241B83">
        <w:rPr>
          <w:szCs w:val="24"/>
        </w:rPr>
        <w:t>Besides the initiatives proposed by the OSCE Minsk Group, direct talks between the presidents of Armenia and Azerbaijan were held in various locations such as Washington, DC, Paris, Key West, and Sochi. The 2001 negotiations in Key West resulted in a new settlement proposal that suggested Nagorno-Karabakh and Lachin reunite with Armenia, while Azerbaijan would receive a land corridor to Nakhichevan through Armenia. Although both sides initially agreed to this settlement, Azerbaijan ultimately rejected the proposal (Pokalova 2015; Broers 2019).</w:t>
      </w:r>
    </w:p>
    <w:p w14:paraId="1B97EA1B" w14:textId="1C2119B6" w:rsidR="00241B83" w:rsidRDefault="00644D8F" w:rsidP="004F4D91">
      <w:pPr>
        <w:spacing w:before="176"/>
        <w:ind w:left="283" w:right="420" w:firstLine="360"/>
        <w:rPr>
          <w:szCs w:val="24"/>
        </w:rPr>
      </w:pPr>
      <w:r w:rsidRPr="14018526">
        <w:rPr>
          <w:szCs w:val="24"/>
        </w:rPr>
        <w:t xml:space="preserve">After the territorial swap concept was discarded, talks resumed in the "Prague Process" in 2002, involving presidential envoys and later Foreign Ministers Vartan Oskanyan and Elmar Mammadyarov in 2004. The Prague Process proposed a hybrid approach that aimed to agree on a mechanism for determining Nagorno-Karabakh's final status, deferring its implementation until after the return of occupied territories and resolution of security issues (Broers 2019, 292-293). Broers (2019, 293) observes that, instead of drafting detailed proposals, Armenian and Azerbaijani diplomats focused on establishing a framework agreement of basic principles to guide a comprehensive peace agreement. </w:t>
      </w:r>
      <w:r w:rsidR="43892E41" w:rsidRPr="14018526">
        <w:rPr>
          <w:szCs w:val="24"/>
        </w:rPr>
        <w:t>In November 2007, their efforts led to the creation of what are now known as the "Madrid Principles."</w:t>
      </w:r>
      <w:r w:rsidRPr="14018526">
        <w:rPr>
          <w:szCs w:val="24"/>
        </w:rPr>
        <w:t xml:space="preserve"> </w:t>
      </w:r>
    </w:p>
    <w:p w14:paraId="5E7AA022" w14:textId="77777777" w:rsidR="00241B83" w:rsidRDefault="00644D8F" w:rsidP="004F4D91">
      <w:pPr>
        <w:spacing w:before="176"/>
        <w:ind w:left="283" w:right="420" w:firstLine="360"/>
        <w:rPr>
          <w:szCs w:val="24"/>
        </w:rPr>
      </w:pPr>
      <w:r w:rsidRPr="00241B83">
        <w:rPr>
          <w:szCs w:val="24"/>
        </w:rPr>
        <w:t xml:space="preserve">The Madrid Principles offered a step-by-step approach to resolving the conflict, which included the gradual withdrawal of Armenian forces from Azerbaijani territory surrounding Nagorno-Karabakh, the establishment of an "interim status" for the local Armenians, and a commitment to hold a referendum at an unspecified date to determine the region's future status (De Waal 2019, 130-131). Further negotiations led diplomatic representatives of the two countries to meet in Moscow in November 2008 and sign the “Declaration on Regulating the Nagorno-Karabakh Conflict” (Pokalova 2015, 77). </w:t>
      </w:r>
    </w:p>
    <w:p w14:paraId="139B5E7C" w14:textId="77777777" w:rsidR="00EC434B" w:rsidRDefault="00644D8F" w:rsidP="004F4D91">
      <w:pPr>
        <w:spacing w:before="176"/>
        <w:ind w:left="283" w:right="420" w:firstLine="360"/>
        <w:rPr>
          <w:szCs w:val="24"/>
        </w:rPr>
      </w:pPr>
      <w:r w:rsidRPr="00241B83">
        <w:rPr>
          <w:szCs w:val="24"/>
        </w:rPr>
        <w:t>However, talks based on the Madrid Principles reached a standstill during the Kazan Summit</w:t>
      </w:r>
      <w:r w:rsidR="00241B83">
        <w:rPr>
          <w:szCs w:val="24"/>
        </w:rPr>
        <w:t xml:space="preserve"> </w:t>
      </w:r>
      <w:r w:rsidRPr="00241B83">
        <w:rPr>
          <w:szCs w:val="24"/>
        </w:rPr>
        <w:t xml:space="preserve">in June 2011, although both Armenian President Serzh Sargsyan and Azerbaijani President Ilham Aliyev had voiced hope about reaching a peace deal (Pokalova 2015, 77). According to De Waal (2019, 130-131), the impasse arose because accepting the proposed solution would have placed both Armenian and Azerbaijani leadership in a difficult position. </w:t>
      </w:r>
    </w:p>
    <w:p w14:paraId="234E45A1" w14:textId="23411A51" w:rsidR="00241B83" w:rsidRDefault="00644D8F" w:rsidP="004F4D91">
      <w:pPr>
        <w:spacing w:before="176"/>
        <w:ind w:left="283" w:right="420" w:firstLine="360"/>
        <w:rPr>
          <w:szCs w:val="24"/>
        </w:rPr>
      </w:pPr>
      <w:r w:rsidRPr="00241B83">
        <w:rPr>
          <w:szCs w:val="24"/>
        </w:rPr>
        <w:t>For Armenians, the promise of independence for Nagorno-Karabakh felt increasingly remote, while the Azerbaijani government risked being accused of betrayal if it agreed to allow Karabakh Armenians to vote on secession (Broers 2019). Moreover, both Yerevan and Baku were closely monitoring recent European events. Kosovo’s 2008 declaration of independence had sparked hopes for Armenian secessionism to gain international support, while Azerbaijan hoped the same by strongly condemning Russia's annexation of Crimea.</w:t>
      </w:r>
    </w:p>
    <w:p w14:paraId="3524E85B" w14:textId="32EB6437" w:rsidR="00241B83" w:rsidRDefault="00644D8F" w:rsidP="004F4D91">
      <w:pPr>
        <w:spacing w:before="176"/>
        <w:ind w:left="283" w:right="420" w:firstLine="360"/>
        <w:rPr>
          <w:szCs w:val="24"/>
        </w:rPr>
      </w:pPr>
      <w:r w:rsidRPr="00241B83">
        <w:rPr>
          <w:szCs w:val="24"/>
        </w:rPr>
        <w:t>In the meantime, incidents and casualties continued to occur along the line of contact in Nagorno-Karabakh and throughout the whole Armenian-Azerbaijani border (Broers 2016, 6). During this period, the economic and political dynamics in both countries underwent significant changes (Cornell 2017, 1). On one hand, Armenia's political and economic standing suffered severe damage due to the First Karabakh War. In contrast, Azerbaijan experienced a substantial boost in both its economy and defense budget since the signing of the “Contract of the Century” with a consortium of international oil companies in 1994. Broers (2019, 190) writes that in 2011 Azerbaijan's military budget amounted to $3.1 billion, surpassing Armenia’s state budget of $2.8 billion. At the same time, military action was an idea strongly supported in both Armenian and Azerbaijani societies. In 2014, President Aliyev asserted, “I am completely confident that our territorial integrity will be restored by any means. The Armenian occupation of 20% of Azerbaijani territory is a temporary condition” (Azertac 2014).</w:t>
      </w:r>
    </w:p>
    <w:p w14:paraId="7050ED8C" w14:textId="77777777" w:rsidR="00D15BE1" w:rsidRDefault="00644D8F" w:rsidP="00D15BE1">
      <w:pPr>
        <w:spacing w:before="176"/>
        <w:ind w:left="283" w:right="420" w:firstLine="360"/>
        <w:rPr>
          <w:szCs w:val="24"/>
        </w:rPr>
      </w:pPr>
      <w:r w:rsidRPr="00241B83">
        <w:rPr>
          <w:szCs w:val="24"/>
        </w:rPr>
        <w:t xml:space="preserve">In April 2016, a four-day war erupted along the line of contact. On April 5, Russian Minister of Defense Sergey Shoygu brokered a ceasefire agreement without the involvement of the other Minsk Group co-chairs (Cornell 2017, 2). Although Azerbaijani forces captured several Armenian front posts in Talish, Seysulan, and around Lale Tepe, the significance of this four-day conflict for Baku was largely rooted in a psychological victory (Broers 2016, 12). In fact, Azerbaijan celebrated its first military success in over twenty years, helping to reverse longstanding feelings of humiliation. </w:t>
      </w:r>
    </w:p>
    <w:p w14:paraId="369D6C23" w14:textId="5E9C0F90" w:rsidR="00241B83" w:rsidRDefault="00EC434B" w:rsidP="00FF4BA0">
      <w:pPr>
        <w:pStyle w:val="Titolo2"/>
      </w:pPr>
      <w:bookmarkStart w:id="30" w:name="_Toc215742645"/>
      <w:r>
        <w:t>3.1</w:t>
      </w:r>
      <w:r w:rsidRPr="00B32F43">
        <w:t xml:space="preserve">.3.  The </w:t>
      </w:r>
      <w:r w:rsidR="00D729CA">
        <w:t>S</w:t>
      </w:r>
      <w:r>
        <w:t xml:space="preserve">econd </w:t>
      </w:r>
      <w:r w:rsidR="00D729CA">
        <w:t>W</w:t>
      </w:r>
      <w:r>
        <w:t>ar (2020)</w:t>
      </w:r>
      <w:bookmarkEnd w:id="30"/>
    </w:p>
    <w:p w14:paraId="630DCB67" w14:textId="77777777" w:rsidR="00EC434B" w:rsidRDefault="00644D8F" w:rsidP="004F4D91">
      <w:pPr>
        <w:spacing w:before="176"/>
        <w:ind w:left="283" w:right="420" w:firstLine="360"/>
        <w:rPr>
          <w:szCs w:val="24"/>
        </w:rPr>
      </w:pPr>
      <w:r w:rsidRPr="00241B83">
        <w:rPr>
          <w:szCs w:val="24"/>
        </w:rPr>
        <w:t>In September 2020, Azerbaijan initiated a military campaign that swiftly breached Armenian defenses, resulting in the outbreak of the Second Karabakh War. This escalation followed a series of clashes that took place in July 2020 along the internationally recognized borders of Armenia and Azerbaijan in the Tavush/Tovuz region (Stronski 2020).</w:t>
      </w:r>
    </w:p>
    <w:p w14:paraId="2219A2B6" w14:textId="714809A7" w:rsidR="00644D8F" w:rsidRPr="00EC434B" w:rsidRDefault="00644D8F" w:rsidP="004F4D91">
      <w:pPr>
        <w:spacing w:before="176"/>
        <w:ind w:left="283" w:right="420" w:firstLine="360"/>
        <w:rPr>
          <w:szCs w:val="24"/>
        </w:rPr>
      </w:pPr>
      <w:r w:rsidRPr="00EC434B">
        <w:rPr>
          <w:szCs w:val="24"/>
        </w:rPr>
        <w:t xml:space="preserve">During this 44-day conflict, Baku reclaimed control over the territories in and around Nagorno-Karabakh that had been occupied by Armenian forces during the First Karabakh War and approximately one-third of Nagorno-Karabakh itself, including the strategically important city of Shusha/Shushi (Landgraf &amp; Seferyan 2024). Aside from its historical significance to both Azerbaijanis and Armenians, this settlement has significant military importance, as it serves as an excellent defensive barrier for Stepanakert, which is only 10 km away, as well as for the Lachin corridor (Spencer &amp; Ghoorhoo 2021).  </w:t>
      </w:r>
    </w:p>
    <w:p w14:paraId="7DBFE1AE" w14:textId="056F4E42" w:rsidR="00644D8F" w:rsidRPr="00EC434B" w:rsidRDefault="00644D8F" w:rsidP="004F4D91">
      <w:pPr>
        <w:pStyle w:val="Paragrafoelenco"/>
        <w:spacing w:before="176"/>
        <w:ind w:left="283" w:right="420" w:firstLine="360"/>
        <w:rPr>
          <w:szCs w:val="24"/>
        </w:rPr>
      </w:pPr>
      <w:r w:rsidRPr="00644D8F">
        <w:rPr>
          <w:szCs w:val="24"/>
        </w:rPr>
        <w:t xml:space="preserve">The superiority of Baku's weaponry also made the Azerbaijani victory possible. As highlighted by Hedenskog et al. (2020), while both the Armenian and Azerbaijani armies had their origins in the Soviet era, Baku benefited from the use of upgraded Soviet equipment alongside modern armaments sourced from Turkey and Israel, including drones for both strikes and reconnaissance, as well as precision-guided munitions. In contrast, the Armenian and Nagorno-Karabakh forces primarily depended on older military equipment, with only a handful of modern systems such as Russian Su-30SM fighter jets and Iskander missiles, though these were in limited supply. Furthermore, reports suggest that Azerbaijan used Syrian mercenaries in its campaign against Nagorno-Karabakh, transporting them through Turkey (OHCHR 2020). Nagorno-Karabakh reportedly involved the use of Syrian mercenaries, who were transported through Turkey (OHCHR 2020). </w:t>
      </w:r>
    </w:p>
    <w:p w14:paraId="0AB9CF41" w14:textId="6DF00474" w:rsidR="00644D8F" w:rsidRPr="00EC434B" w:rsidRDefault="00644D8F" w:rsidP="004F4D91">
      <w:pPr>
        <w:pStyle w:val="Paragrafoelenco"/>
        <w:spacing w:before="176"/>
        <w:ind w:left="283" w:right="420" w:firstLine="360"/>
        <w:rPr>
          <w:szCs w:val="24"/>
        </w:rPr>
      </w:pPr>
      <w:r w:rsidRPr="00644D8F">
        <w:rPr>
          <w:szCs w:val="24"/>
        </w:rPr>
        <w:t xml:space="preserve">On November 9, Armenian Prime Minister Nikol Pashinyan and Azerbaijani President Ilham Aliyev signed a ceasefire agreement brokered by Russia. Although the deal did not pave the way for a definitive and lasting peace, it did bring an end to the most intense fighting in the region in nearly three decades. In fact, the Second Karabakh War resulted in the deaths of nearly 7,000 soldiers and about 170 civilians, with many others wounded (Crisis Group 2025).  </w:t>
      </w:r>
    </w:p>
    <w:p w14:paraId="15509E06" w14:textId="77777777" w:rsidR="00644D8F" w:rsidRPr="00644D8F" w:rsidRDefault="00644D8F" w:rsidP="004F4D91">
      <w:pPr>
        <w:pStyle w:val="Paragrafoelenco"/>
        <w:spacing w:before="176"/>
        <w:ind w:left="283" w:right="420" w:firstLine="360"/>
        <w:rPr>
          <w:szCs w:val="24"/>
        </w:rPr>
      </w:pPr>
      <w:r w:rsidRPr="00644D8F">
        <w:rPr>
          <w:szCs w:val="24"/>
        </w:rPr>
        <w:t xml:space="preserve">The ceasefire agreement included the deployment of 1960 Russian peacekeepers in the Armenian-populated areas of the conflict zone until November 2025, with the option for a five-year extension unless either Armenia or Azerbaijan requested otherwise (President of Russia 2020). One of these areas was the Lachin corridor, the vital route linking Armenia and Karabakh, where Azerbaijan was required to ensure the uninterrupted free movement of people and goods. Moreover, a Russian-Turkish monitoring center was established in the Aghdam district. Finally, the agreement mandated that Armenia "guarantee the safety" of transport links between mainland Azerbaijan and its Nakhichevan exclave, with oversight provided by the Border Guards of the Russian Federal Security Service (FSB) (President of Russia 2020). </w:t>
      </w:r>
    </w:p>
    <w:p w14:paraId="08C207A1" w14:textId="72555274" w:rsidR="00644D8F" w:rsidRPr="00EC434B" w:rsidRDefault="00EC434B" w:rsidP="00FF4BA0">
      <w:pPr>
        <w:pStyle w:val="Titolo2"/>
      </w:pPr>
      <w:bookmarkStart w:id="31" w:name="_Toc215742646"/>
      <w:r>
        <w:t>3</w:t>
      </w:r>
      <w:r w:rsidRPr="00B32F43">
        <w:t>.</w:t>
      </w:r>
      <w:r>
        <w:t>1.4</w:t>
      </w:r>
      <w:r w:rsidRPr="00B32F43">
        <w:t>.  The</w:t>
      </w:r>
      <w:r>
        <w:t xml:space="preserve"> </w:t>
      </w:r>
      <w:r w:rsidR="00D729CA">
        <w:t>S</w:t>
      </w:r>
      <w:r>
        <w:t>econd</w:t>
      </w:r>
      <w:r w:rsidR="00D729CA">
        <w:t xml:space="preserve"> I</w:t>
      </w:r>
      <w:r>
        <w:t xml:space="preserve">nterwar </w:t>
      </w:r>
      <w:r w:rsidR="00D729CA">
        <w:t>P</w:t>
      </w:r>
      <w:r>
        <w:t xml:space="preserve">eriod and the </w:t>
      </w:r>
      <w:r w:rsidR="00D729CA">
        <w:t>T</w:t>
      </w:r>
      <w:r>
        <w:t xml:space="preserve">hird </w:t>
      </w:r>
      <w:r w:rsidR="00D729CA">
        <w:t>W</w:t>
      </w:r>
      <w:r>
        <w:t>ar (2021-2024)</w:t>
      </w:r>
      <w:bookmarkEnd w:id="31"/>
    </w:p>
    <w:p w14:paraId="35057291" w14:textId="77777777" w:rsidR="00EC434B" w:rsidRDefault="00644D8F" w:rsidP="004F4D91">
      <w:pPr>
        <w:pStyle w:val="Paragrafoelenco"/>
        <w:spacing w:before="176"/>
        <w:ind w:left="283" w:right="420" w:firstLine="360"/>
        <w:rPr>
          <w:szCs w:val="24"/>
        </w:rPr>
      </w:pPr>
      <w:r w:rsidRPr="00644D8F">
        <w:rPr>
          <w:szCs w:val="24"/>
        </w:rPr>
        <w:t xml:space="preserve">In the aftermath of the Second Karabakh War, hostilities extended beyond Nagorno-Karabakh, impacting the entire Armenian-Azerbaijani border (De Waal 2023; Landgraf &amp; Seferyan 2024). Azerbaijani forces conducted incursions into both Nagorno-Karabakh and sovereign Armenian territory in May 2021, November 2021, and September 2022. In March 2024, Armenian authorities reported that 31 villages, encompassing approximately 200 square kilometers of Armenia’s sovereign territory, had fallen under the control of Baku (Eurasianet 2022; Zanatta 2024). </w:t>
      </w:r>
    </w:p>
    <w:p w14:paraId="76BB0585" w14:textId="1552B39D" w:rsidR="00644D8F" w:rsidRPr="00EC434B" w:rsidRDefault="00644D8F" w:rsidP="004F4D91">
      <w:pPr>
        <w:pStyle w:val="Paragrafoelenco"/>
        <w:spacing w:before="176"/>
        <w:ind w:left="283" w:right="420" w:firstLine="360"/>
        <w:rPr>
          <w:szCs w:val="24"/>
        </w:rPr>
      </w:pPr>
      <w:r w:rsidRPr="00EC434B">
        <w:rPr>
          <w:szCs w:val="24"/>
        </w:rPr>
        <w:t xml:space="preserve">Within Nagorno-Karabakh, the situation remained precarious. In March and August 2022, reports indicated that Azerbaijani forces had breached the line of contact in Nagorno-Karabakh, including areas that were under the supervision of Russian peacekeeping forces (De Waal 2023). In the same year, Baku implemented a blockade of the Lachin corridor, which was the sole highway connecting the region to Armenia and the outside world. Beginning in December 2022, movement through the Lachin Corridor was either partially or completely obstructed, initially by government-directed environmental activists and later by Azerbaijani border guards (De Waal 2023). Although Russian peacekeepers and the International Committee of the Red Cross (ICRC) were able to facilitate the delivery of food, medicine, and transportation for residents on some occasions, the estimated 120,000 inhabitants of Nagorno-Karabakh faced severe shortages of essential supplies, including food, medicine, electricity, heating, water, and fuel (Landgraf &amp; Seferyan 2024). </w:t>
      </w:r>
    </w:p>
    <w:p w14:paraId="5C9D698C" w14:textId="47EEABF0" w:rsidR="00644D8F" w:rsidRPr="00EC434B" w:rsidRDefault="00644D8F" w:rsidP="004F4D91">
      <w:pPr>
        <w:pStyle w:val="Paragrafoelenco"/>
        <w:spacing w:before="176"/>
        <w:ind w:left="283" w:right="420" w:firstLine="360"/>
        <w:rPr>
          <w:szCs w:val="24"/>
        </w:rPr>
      </w:pPr>
      <w:r w:rsidRPr="00644D8F">
        <w:rPr>
          <w:szCs w:val="24"/>
        </w:rPr>
        <w:t xml:space="preserve">On September 19, 2023, Azerbaijani forces launched a decisive offensive that, within 24 hours, ended the decades-long aspiration for independence among Nagorno-Karabakh Armenians and triggered their mass exodus to neighboring Armenia. In fact, on September 28, 2023, Samvel Shahramanyan, the president of Nagorno-Karabakh/Artsakh, signed the order for its dissolution, effective from January 1, 2024 (Landgraf &amp; Seferyan 2024). </w:t>
      </w:r>
    </w:p>
    <w:p w14:paraId="428188A1" w14:textId="2A7B5636" w:rsidR="00644D8F" w:rsidRPr="00EC434B" w:rsidRDefault="00644D8F" w:rsidP="004F4D91">
      <w:pPr>
        <w:pStyle w:val="Paragrafoelenco"/>
        <w:spacing w:before="176"/>
        <w:ind w:left="283" w:right="420" w:firstLine="360"/>
        <w:rPr>
          <w:szCs w:val="24"/>
        </w:rPr>
      </w:pPr>
      <w:r w:rsidRPr="00644D8F">
        <w:rPr>
          <w:szCs w:val="24"/>
        </w:rPr>
        <w:t xml:space="preserve">After the events of September 2023, the long-standing territorial question of Nagorno-Karabakh has, in practical terms, come to an end. However, the conflict between Armenia and Azerbaijan continues to persist. A series of unresolved and deeply sensitive issues remains: agreeing on the precise delineation and demarcation of the interstate border, addressing the legacies of the 2020 war, including the contested transport link between mainland Azerbaijan and the Nakhchivan exclave and the fate of Armenian prisoners of war, and, finally, how the two governments and their societies might begin, slowly and cautiously, to move toward normal diplomatic relations. </w:t>
      </w:r>
    </w:p>
    <w:p w14:paraId="44A64EDD" w14:textId="173A5C9C" w:rsidR="00644D8F" w:rsidRPr="00EC434B" w:rsidRDefault="00644D8F" w:rsidP="004F4D91">
      <w:pPr>
        <w:pStyle w:val="Paragrafoelenco"/>
        <w:spacing w:before="176"/>
        <w:ind w:left="283" w:right="420" w:firstLine="360"/>
        <w:rPr>
          <w:szCs w:val="24"/>
        </w:rPr>
      </w:pPr>
      <w:r w:rsidRPr="00644D8F">
        <w:rPr>
          <w:szCs w:val="24"/>
        </w:rPr>
        <w:t xml:space="preserve">While these developments are certainly important for assessing Russia’s role in the region, this study confines its scope to the territorial dispute over Nagorno-Karabakh. Methodological and empirical feasibility considerations motivate this decision. Including the subsequent dynamics would turn the thesis into a constantly evolving project, as the issues mentioned above remain unresolved. </w:t>
      </w:r>
    </w:p>
    <w:p w14:paraId="3B2C3B8B" w14:textId="4B188860" w:rsidR="00644D8F" w:rsidRDefault="00EC434B" w:rsidP="00FF4BA0">
      <w:pPr>
        <w:pStyle w:val="Titolo2"/>
      </w:pPr>
      <w:bookmarkStart w:id="32" w:name="_Toc215742647"/>
      <w:r>
        <w:t>3</w:t>
      </w:r>
      <w:r w:rsidRPr="00B32F43">
        <w:t>.</w:t>
      </w:r>
      <w:r>
        <w:t>2</w:t>
      </w:r>
      <w:r w:rsidRPr="00B32F43">
        <w:t xml:space="preserve">.  </w:t>
      </w:r>
      <w:r>
        <w:t xml:space="preserve">Russia’s </w:t>
      </w:r>
      <w:r w:rsidR="00D729CA">
        <w:t>P</w:t>
      </w:r>
      <w:r>
        <w:t xml:space="preserve">ractices and </w:t>
      </w:r>
      <w:r w:rsidR="00D729CA">
        <w:t>I</w:t>
      </w:r>
      <w:r>
        <w:t xml:space="preserve">nterests in the </w:t>
      </w:r>
      <w:r w:rsidR="00D729CA">
        <w:t>C</w:t>
      </w:r>
      <w:r>
        <w:t>onflict</w:t>
      </w:r>
      <w:bookmarkEnd w:id="32"/>
    </w:p>
    <w:p w14:paraId="4D860FF0" w14:textId="51EEAB3C" w:rsidR="00644D8F" w:rsidRPr="00EC434B" w:rsidRDefault="00EC434B" w:rsidP="00FF4BA0">
      <w:pPr>
        <w:pStyle w:val="Titolo3"/>
      </w:pPr>
      <w:bookmarkStart w:id="33" w:name="_Toc215742648"/>
      <w:r>
        <w:t>3.2.1</w:t>
      </w:r>
      <w:r w:rsidRPr="00B32F43">
        <w:t xml:space="preserve">.  The </w:t>
      </w:r>
      <w:r w:rsidR="00D729CA">
        <w:t>F</w:t>
      </w:r>
      <w:r>
        <w:t xml:space="preserve">irst </w:t>
      </w:r>
      <w:r w:rsidR="00D729CA">
        <w:t>W</w:t>
      </w:r>
      <w:r>
        <w:t>ar</w:t>
      </w:r>
      <w:bookmarkEnd w:id="33"/>
    </w:p>
    <w:p w14:paraId="456EF7D5" w14:textId="1DE5F713" w:rsidR="00644D8F" w:rsidRPr="00EC434B" w:rsidRDefault="00644D8F" w:rsidP="004F4D91">
      <w:pPr>
        <w:pStyle w:val="Paragrafoelenco"/>
        <w:spacing w:before="176"/>
        <w:ind w:left="283" w:right="420" w:firstLine="360"/>
        <w:rPr>
          <w:szCs w:val="24"/>
        </w:rPr>
      </w:pPr>
      <w:r w:rsidRPr="00644D8F">
        <w:rPr>
          <w:szCs w:val="24"/>
        </w:rPr>
        <w:t xml:space="preserve">Some scholars (Abushov 2009, 195) have characterized Soviet policy at the onset of the First Karabakh conflict as incoherent and lacking a clear strategic direction. In contrast, others (Kopeček 2019, 124) have argued that the involvement of the Gorbachev administration was primarily driven by a desire to avert the disintegration of the Soviet Union. Kopeček (2019, 124) further asserts that Moscow's support was often contingent upon which side it perceived to be most aligned with its interests at any given moment. </w:t>
      </w:r>
    </w:p>
    <w:p w14:paraId="597EF11A" w14:textId="3EE54B16" w:rsidR="00644D8F" w:rsidRPr="00EC434B" w:rsidRDefault="00644D8F" w:rsidP="004F4D91">
      <w:pPr>
        <w:pStyle w:val="Paragrafoelenco"/>
        <w:spacing w:before="176"/>
        <w:ind w:left="283" w:right="420" w:firstLine="360"/>
        <w:rPr>
          <w:szCs w:val="24"/>
        </w:rPr>
      </w:pPr>
      <w:r w:rsidRPr="14018526">
        <w:rPr>
          <w:szCs w:val="24"/>
        </w:rPr>
        <w:t xml:space="preserve">Initially, it may have seemed that Moscow was responsive to the claims of the Karabakh Armenians (Kopeček 2019, 124). Indeed, the Kremlin directly governed the Nagorno-Karabakh Autonomous Oblast (NKAO) for much of 1989, instead of the Azerbaijan SSR. However, in November of that year, the government in Baku took over authority. The Soviet leadership intensified its support for Azerbaijan between 1990 and 1991 (Cornell 2001; De Waal 2019). According to the literature (Cornell 2001; De Waal 2013; Coyle 2017), this shift was partly catalyzed by Armenia's emergence in 1990 as the first Soviet republic to elect a non-Communist government under the leadership of the Armenian National Movement. By the end of that year, Yerevan declared its </w:t>
      </w:r>
      <w:r w:rsidR="1B986575" w:rsidRPr="14018526">
        <w:rPr>
          <w:szCs w:val="24"/>
        </w:rPr>
        <w:t>independence and appointed Levon Ter-Petrosyan as</w:t>
      </w:r>
      <w:r w:rsidRPr="14018526">
        <w:rPr>
          <w:szCs w:val="24"/>
        </w:rPr>
        <w:t xml:space="preserve"> its first president. Subsequently, Armenia opted to boycott the March 1991 referendum aimed at preserving the Soviet Union. </w:t>
      </w:r>
    </w:p>
    <w:p w14:paraId="37956466" w14:textId="3AA171E7" w:rsidR="00644D8F" w:rsidRPr="00EC434B" w:rsidRDefault="00644D8F" w:rsidP="004F4D91">
      <w:pPr>
        <w:pStyle w:val="Paragrafoelenco"/>
        <w:spacing w:before="176"/>
        <w:ind w:left="283" w:right="420" w:firstLine="360"/>
        <w:rPr>
          <w:szCs w:val="24"/>
        </w:rPr>
      </w:pPr>
      <w:r w:rsidRPr="00644D8F">
        <w:rPr>
          <w:szCs w:val="24"/>
        </w:rPr>
        <w:t xml:space="preserve">In contrast, Azerbaijan maintained a closer alignment with Soviet interests and did not pursue independence until after the August 1991 coup. While the Popular Front in Azerbaijan, a movement characterized by Broers (2019, 112) as a “heady mix of pan-Turkism, pan-Azerbaijani nationalism, recriminations against Russian-speaking Azerbaijanis, populist messianism, and anti-Armenian rhetoric,” emerged around the same time as the Armenian National Movement, it faced significant repression from Soviet authorities in January 1990 and did not achieve substantial political influence until late spring 1992. </w:t>
      </w:r>
    </w:p>
    <w:p w14:paraId="2D6D7709" w14:textId="3D6CE8A9" w:rsidR="00644D8F" w:rsidRPr="00EC434B" w:rsidRDefault="00644D8F" w:rsidP="004F4D91">
      <w:pPr>
        <w:pStyle w:val="Paragrafoelenco"/>
        <w:spacing w:before="176"/>
        <w:ind w:left="283" w:right="420" w:firstLine="360"/>
        <w:rPr>
          <w:szCs w:val="24"/>
        </w:rPr>
      </w:pPr>
      <w:r w:rsidRPr="00644D8F">
        <w:rPr>
          <w:szCs w:val="24"/>
        </w:rPr>
        <w:t xml:space="preserve">Furthermore, Azerbaijanis derived greater benefits than Armenians from the distribution of Soviet military equipment that was agreed upon during a meeting of post-Soviet states in Tashkent in May 1992 (De Waal 2019, 121). Although Ayaz Mutalibov was appointed as the party leader following the events of January 1990, De Waal (2019, 114) notes that he was significantly influenced by his Russian deputy, Viktor Polyanichko, who received substantial support from the security establishment in Moscow. The Soviets entrusted Polyanichko with the responsibility of overseeing operations in Nagorno-Karabakh and countering the Armenian insurgency, with assistance from Azerbaijani special police and Soviet troops. </w:t>
      </w:r>
    </w:p>
    <w:p w14:paraId="4E9C0539" w14:textId="0AAD9362" w:rsidR="00644D8F" w:rsidRPr="00EC434B" w:rsidRDefault="00644D8F" w:rsidP="004F4D91">
      <w:pPr>
        <w:pStyle w:val="Paragrafoelenco"/>
        <w:spacing w:before="176"/>
        <w:ind w:left="283" w:right="420" w:firstLine="360"/>
        <w:rPr>
          <w:szCs w:val="24"/>
        </w:rPr>
      </w:pPr>
      <w:r w:rsidRPr="00644D8F">
        <w:rPr>
          <w:szCs w:val="24"/>
        </w:rPr>
        <w:t xml:space="preserve">It is also important to note that, in the immediate wake of the Soviet Union's collapse, former Soviet soldiers were actively involved in military operations on both sides of the conflict. These units, primarily composed of Russians but also including Ukrainians, Belarussians, and other nationalities, remained in the region and served as mercenaries. While some members of the 23rd Motorized Rifle Division participated in the so-called “Operation Ring” from April to May 1991 to expel ethnic Armenians from areas surrounding the NKAO in conjunction with Azerbaijani security forces, others from the 366th Motorized Rifle Regiment were reportedly implicated in the Khojaly massacre in January 1992 (Croissant 1998, 31–42). </w:t>
      </w:r>
    </w:p>
    <w:p w14:paraId="4479B04E" w14:textId="23521023" w:rsidR="00644D8F" w:rsidRPr="00EC434B" w:rsidRDefault="00644D8F" w:rsidP="004F4D91">
      <w:pPr>
        <w:pStyle w:val="Paragrafoelenco"/>
        <w:spacing w:before="176"/>
        <w:ind w:left="283" w:right="420" w:firstLine="360"/>
        <w:rPr>
          <w:szCs w:val="24"/>
        </w:rPr>
      </w:pPr>
      <w:r w:rsidRPr="00644D8F">
        <w:rPr>
          <w:szCs w:val="24"/>
        </w:rPr>
        <w:t xml:space="preserve">Scholars have presented diverse interpretations regarding the Russian government's involvement in operations carried out by former Soviet soldiers. While Cornell (2001) argues that this was part of a strategic initiative by Moscow to escalate the conflict for its own advantage, others, such as De Waal (2013) and Coyle (2017), contend that the role of former Soviet soldiers was not a deliberate Kremlin strategy but rather arose from the geographical positioning and composition of these troops. For instance, the 366th Motorized Rifle Regiment, deployed in Stepanakert since August 1988, included a significant number of Armenian officers and personnel, with Karabakh Armenians often renting tanks from the regiment. In contrast, the 23rd Motorized Rifle Division, stationed in Ganja, had a substantial number of Azerbaijani soldiers. Moreover, Coyle (2017, 29) notes that Boris Yeltsin, Chairman of the Supreme Soviet of the Russian Soviet Federative Socialist Republic (SFSR) and the first President of the Russian Federation was a staunch opponent of Operation Ring and perceived the central government's actions against Armenian separatists as a troubling precedent for Moscow’s standing in the region. </w:t>
      </w:r>
    </w:p>
    <w:p w14:paraId="004B752A" w14:textId="1204D9A9" w:rsidR="00644D8F" w:rsidRPr="00EC434B" w:rsidRDefault="00644D8F" w:rsidP="004F4D91">
      <w:pPr>
        <w:pStyle w:val="Paragrafoelenco"/>
        <w:spacing w:before="176"/>
        <w:ind w:left="283" w:right="420" w:firstLine="360"/>
        <w:rPr>
          <w:szCs w:val="24"/>
        </w:rPr>
      </w:pPr>
      <w:r w:rsidRPr="14018526">
        <w:rPr>
          <w:szCs w:val="24"/>
        </w:rPr>
        <w:t xml:space="preserve">While the Soviet Azerbaijani strategy was beginning to apply pressure on the Armenians, it was abruptly interrupted by the failed coup in Moscow in August 1991. </w:t>
      </w:r>
      <w:r w:rsidR="401CBA5F" w:rsidRPr="14018526">
        <w:rPr>
          <w:szCs w:val="24"/>
        </w:rPr>
        <w:t>Accusations of close ties to the plotters forced Polyanichko</w:t>
      </w:r>
      <w:r w:rsidRPr="14018526">
        <w:rPr>
          <w:szCs w:val="24"/>
        </w:rPr>
        <w:t xml:space="preserve"> to leave Azerbaijan (De Waal 2019, 115). Meanwhile, public sentiment against Moscow and the communist leadership intensified in Azerbaijan, particularly following the Soviet military intervention in January 1990 (Cornell 2001, 53). The situation further deteriorated following the Khojaly massacre in February 1992. Cornell (2017, 10) observes that Azerbaijanis increasingly began to believe that Russia had become Armenia's principal sponsor and a direct participant in the conflict, with Russian forces actively involved in Armenian military operations. This perception was compounded by the fact that the Armenian offensives in Shusha and Lachin commenced the day after Armenia and Russia signed the Tashkent Treaty in May 1992. Viewed as a pro-Russian figure, Azerbaijani society held Mutalibov responsible for its military setbacks and subsequently ousted him (De Waal 2013, 45). Abulfaz Elchibey, who had risen to prominence as the leader of the Popular Front during the tumultuous events of Black January in the 1990s and was known for his antagonistic stance towards Russia, succeeded him. </w:t>
      </w:r>
    </w:p>
    <w:p w14:paraId="7DBC6878" w14:textId="6000A0D8" w:rsidR="00644D8F" w:rsidRPr="00EC434B" w:rsidRDefault="00644D8F" w:rsidP="004F4D91">
      <w:pPr>
        <w:pStyle w:val="Paragrafoelenco"/>
        <w:spacing w:before="176"/>
        <w:ind w:left="283" w:right="420" w:firstLine="360"/>
        <w:rPr>
          <w:szCs w:val="24"/>
        </w:rPr>
      </w:pPr>
      <w:r w:rsidRPr="00644D8F">
        <w:rPr>
          <w:szCs w:val="24"/>
        </w:rPr>
        <w:t xml:space="preserve">This period marked a significant turning point, as experts on the conflict assert that Moscow began to extend military support to Armenia and Nagorno-Karabakh (Broers 2019; De Waal 2019). Thereafter, Russia started sending enormous supplies of arms and fuel to Armenia. Defense Minister Pavel Grachev established robust connections with Armenian military leaders, further solidifying this support (De Waal 2013). While Russian assistance was pivotal for Yerevan in bridging its military gap with Azerbaijan during 1992-1993, the extent to which it was the primary factor contributing to its victory in 1993-1994 remains a subject of debate (De Waal 2013; Broers 2019). </w:t>
      </w:r>
    </w:p>
    <w:p w14:paraId="760E55C1" w14:textId="13585F0E" w:rsidR="00644D8F" w:rsidRPr="00EC434B" w:rsidRDefault="00644D8F" w:rsidP="004F4D91">
      <w:pPr>
        <w:pStyle w:val="Paragrafoelenco"/>
        <w:spacing w:before="176"/>
        <w:ind w:left="283" w:right="420" w:firstLine="360"/>
        <w:rPr>
          <w:szCs w:val="24"/>
        </w:rPr>
      </w:pPr>
      <w:r w:rsidRPr="00644D8F">
        <w:rPr>
          <w:szCs w:val="24"/>
        </w:rPr>
        <w:t xml:space="preserve">Furthermore, a crucial factor in Armenia's success was the deterioration of relations between Russia and Azerbaijan. This tension reached its peak in 1993 when the Azerbaijani government decided to oust Russian military bases from its territory. Additionally, Azerbaijan refused to join the Commonwealth of Independent States (CIS) and sought to strengthen its relationships with Turkey and Western nations (Furman 1994). In response, Russia began to support separatist movements among the Talysh and Lezgin ethnic groups and played a significant role in facilitating Surat Huseynov’s 1993 coup against President Elchibey.1 Huseynov's forces managed to acquire weapons from the departing Russian military unit in Ganja, which enabled them to launch an attack on an undefended Baku, ultimately resulting in Elchibey's ousting (Cornell 2001; De Waal 2013). </w:t>
      </w:r>
    </w:p>
    <w:p w14:paraId="6091AE73" w14:textId="648C0B5F" w:rsidR="00644D8F" w:rsidRPr="00EC434B" w:rsidRDefault="00644D8F" w:rsidP="004F4D91">
      <w:pPr>
        <w:pStyle w:val="Paragrafoelenco"/>
        <w:spacing w:before="176"/>
        <w:ind w:left="283" w:right="420" w:firstLine="360"/>
        <w:rPr>
          <w:szCs w:val="24"/>
        </w:rPr>
      </w:pPr>
      <w:r w:rsidRPr="00644D8F">
        <w:rPr>
          <w:szCs w:val="24"/>
        </w:rPr>
        <w:t xml:space="preserve">The Russian representative in the OSCE Minsk Group, Vladimir Kazimirov, successfully negotiated a ceasefire (Bishkek protocol) that took effect on May 12, 1994. Following that, Grachev invited his military counterparts to Moscow and proposed the deployment of a contingent of 1,800 Russian peacekeepers to the front lines in Karabakh (De Waal 2013). However, Azerbaijan refused to consent to the presence of Russian soldiers. </w:t>
      </w:r>
    </w:p>
    <w:p w14:paraId="1E9A577A" w14:textId="1516791C" w:rsidR="00644D8F" w:rsidRPr="0054585D" w:rsidRDefault="00DC2D3C" w:rsidP="00C33B50">
      <w:pPr>
        <w:pStyle w:val="Titolo3"/>
        <w:ind w:firstLine="283"/>
      </w:pPr>
      <w:bookmarkStart w:id="34" w:name="_Toc215742649"/>
      <w:r>
        <w:t>3.</w:t>
      </w:r>
      <w:r w:rsidRPr="00B32F43">
        <w:t>2.</w:t>
      </w:r>
      <w:r>
        <w:t>2</w:t>
      </w:r>
      <w:r w:rsidRPr="00B32F43">
        <w:t xml:space="preserve">.  </w:t>
      </w:r>
      <w:r>
        <w:t xml:space="preserve">The </w:t>
      </w:r>
      <w:r w:rsidR="00D729CA">
        <w:t>F</w:t>
      </w:r>
      <w:r>
        <w:t xml:space="preserve">irst </w:t>
      </w:r>
      <w:r w:rsidR="00D729CA">
        <w:t>I</w:t>
      </w:r>
      <w:r>
        <w:t xml:space="preserve">nterwar </w:t>
      </w:r>
      <w:r w:rsidR="00D729CA">
        <w:t>P</w:t>
      </w:r>
      <w:r>
        <w:t xml:space="preserve">eriod and the </w:t>
      </w:r>
      <w:r w:rsidR="00D729CA">
        <w:t>S</w:t>
      </w:r>
      <w:r>
        <w:t xml:space="preserve">econd </w:t>
      </w:r>
      <w:r w:rsidR="00D729CA">
        <w:t>W</w:t>
      </w:r>
      <w:r>
        <w:t>ar</w:t>
      </w:r>
      <w:bookmarkEnd w:id="34"/>
    </w:p>
    <w:p w14:paraId="74062006" w14:textId="18876C00" w:rsidR="00644D8F" w:rsidRPr="0054585D" w:rsidRDefault="00644D8F" w:rsidP="004F4D91">
      <w:pPr>
        <w:pStyle w:val="Paragrafoelenco"/>
        <w:spacing w:before="176"/>
        <w:ind w:left="283" w:right="420" w:firstLine="360"/>
        <w:rPr>
          <w:szCs w:val="24"/>
        </w:rPr>
      </w:pPr>
      <w:r w:rsidRPr="00644D8F">
        <w:rPr>
          <w:szCs w:val="24"/>
        </w:rPr>
        <w:t xml:space="preserve">As a joke often heard in this region puts it, if Russia had to choose between Armenia and Azerbaijan in the Nagorno-Karabakh conflict, it would always side with "conflict" (Bennet 2023; Broers 2023). Following the end of the First Karabakh War, it became widely believed among observers that Moscow was not genuinely committed to resolving the Armenian-Azerbaijani dispute but rather leveraged the status quo as an instrument to maintain its influence over Baku and Yerevan (Allison &amp; Bluth 1998; Cornell 2001; Babayan 2015; Coyle 2017; Romashov &amp; Rytövuori-Apunen 2017; De Waal 2019; Gafarli 2022; Çakmak &amp; Özşahin 2023). </w:t>
      </w:r>
    </w:p>
    <w:p w14:paraId="2A078483" w14:textId="1E470C07" w:rsidR="00644D8F" w:rsidRDefault="00644D8F" w:rsidP="004F4D91">
      <w:pPr>
        <w:pStyle w:val="Paragrafoelenco"/>
        <w:spacing w:before="176"/>
        <w:ind w:left="283" w:right="420" w:firstLine="360"/>
        <w:rPr>
          <w:szCs w:val="24"/>
        </w:rPr>
      </w:pPr>
      <w:r w:rsidRPr="00644D8F">
        <w:rPr>
          <w:szCs w:val="24"/>
        </w:rPr>
        <w:t xml:space="preserve">This belief stemmed from the complexity and incoherence of certain policies Russia adopted during its involvement in the Nagorno-Karabakh conflict. These will be summarized in the following paragraphs. </w:t>
      </w:r>
    </w:p>
    <w:p w14:paraId="6E2E6A60" w14:textId="6FA5C507" w:rsidR="00644D8F" w:rsidRPr="0054585D" w:rsidRDefault="0054585D" w:rsidP="00C33B50">
      <w:pPr>
        <w:pStyle w:val="Titolo3"/>
        <w:ind w:firstLine="283"/>
      </w:pPr>
      <w:bookmarkStart w:id="35" w:name="_Toc215742650"/>
      <w:r>
        <w:t>3</w:t>
      </w:r>
      <w:r w:rsidRPr="00B32F43">
        <w:t>.</w:t>
      </w:r>
      <w:r>
        <w:t>2.2.1</w:t>
      </w:r>
      <w:r w:rsidRPr="00B32F43">
        <w:t xml:space="preserve">.  </w:t>
      </w:r>
      <w:r>
        <w:t xml:space="preserve">Armenia’s </w:t>
      </w:r>
      <w:r w:rsidR="00D729CA">
        <w:t>A</w:t>
      </w:r>
      <w:r>
        <w:t xml:space="preserve">lly, </w:t>
      </w:r>
      <w:r w:rsidR="00D729CA">
        <w:t>A</w:t>
      </w:r>
      <w:r>
        <w:t xml:space="preserve">zerbaijan’s </w:t>
      </w:r>
      <w:r w:rsidR="00D729CA">
        <w:t>St</w:t>
      </w:r>
      <w:r>
        <w:t xml:space="preserve">rategic </w:t>
      </w:r>
      <w:r w:rsidR="00D729CA">
        <w:t>P</w:t>
      </w:r>
      <w:r>
        <w:t>artner</w:t>
      </w:r>
      <w:bookmarkEnd w:id="35"/>
    </w:p>
    <w:p w14:paraId="5D714FBD" w14:textId="11ACE036" w:rsidR="00644D8F" w:rsidRPr="0054585D" w:rsidRDefault="00644D8F" w:rsidP="004F4D91">
      <w:pPr>
        <w:pStyle w:val="Paragrafoelenco"/>
        <w:spacing w:before="176"/>
        <w:ind w:left="283" w:right="420" w:firstLine="360"/>
        <w:rPr>
          <w:szCs w:val="24"/>
        </w:rPr>
      </w:pPr>
      <w:r w:rsidRPr="00644D8F">
        <w:rPr>
          <w:szCs w:val="24"/>
        </w:rPr>
        <w:t xml:space="preserve">Scholars have emphasized that one of the reasons the status quo mattered to Russia was the preservation of its friendly relations with both Armenia and Azerbaijan, as well as Turkey (Broers 2019; Davidzon 2022). This view holds that the Kremlin would have lost influence in the South Caucasus and faced polarization in its ties with one of the two parties after the conflict. the Kremlin would have faced polarization in its ties with one of the two parties and would have lost part of its influence in the South Caucasus. </w:t>
      </w:r>
    </w:p>
    <w:p w14:paraId="0D769133" w14:textId="2C85972C" w:rsidR="00644D8F" w:rsidRPr="0054585D" w:rsidRDefault="00644D8F" w:rsidP="004F4D91">
      <w:pPr>
        <w:pStyle w:val="Paragrafoelenco"/>
        <w:spacing w:before="176"/>
        <w:ind w:left="283" w:right="420" w:firstLine="360"/>
        <w:rPr>
          <w:szCs w:val="24"/>
        </w:rPr>
      </w:pPr>
      <w:r w:rsidRPr="00644D8F">
        <w:rPr>
          <w:szCs w:val="24"/>
        </w:rPr>
        <w:t xml:space="preserve">On one hand, Armenia is a participant in the Collective Security Treaty Organization (CSTO) and the Eurasian Economic Union (EAEU). Furthermore, Yerevan maintains bilateral agreements with Moscow in the spheres of politics, defense, and the economy. However, due to Armenia’s significance in my aim to illustrate Russia’s pursuit of ontological security, these dynamics will be examined in greater detail in a dedicated chapter. Conversely, Moscow has considered Azerbaijan a strategic ally, despite its pledges to Armenia's defense (Isachenko 2020). </w:t>
      </w:r>
    </w:p>
    <w:p w14:paraId="40F92549" w14:textId="5219517E" w:rsidR="00644D8F" w:rsidRPr="0054585D" w:rsidRDefault="00644D8F" w:rsidP="004F4D91">
      <w:pPr>
        <w:pStyle w:val="Paragrafoelenco"/>
        <w:spacing w:before="176"/>
        <w:ind w:left="283" w:right="420" w:firstLine="360"/>
        <w:rPr>
          <w:szCs w:val="24"/>
        </w:rPr>
      </w:pPr>
      <w:r w:rsidRPr="00644D8F">
        <w:rPr>
          <w:szCs w:val="24"/>
        </w:rPr>
        <w:t xml:space="preserve">Significant tensions marked Russian–Azerbaijani relations during the First Karabakh War, as previously discussed. These frictions emerged not only because large segments of Azerbaijani society came to view Russia as Armenia’s principal supporter following the events of 1992. Elchibey's attempts to expel Russian military bases from Azerbaijan, together with his efforts to deepen ties with the West through initiatives such as GUAM, NATO’s Partnership for Peace, and closer cooperation with Turkey, provoked considerable unease in Moscow (Furman 1994; Abushov 2019). </w:t>
      </w:r>
      <w:r w:rsidR="001C6076">
        <w:rPr>
          <w:rStyle w:val="Rimandonotaapidipagina"/>
          <w:szCs w:val="24"/>
        </w:rPr>
        <w:footnoteReference w:id="8"/>
      </w:r>
    </w:p>
    <w:p w14:paraId="08EF3281" w14:textId="3FDC052D" w:rsidR="00644D8F" w:rsidRPr="0054585D" w:rsidRDefault="00644D8F" w:rsidP="004F4D91">
      <w:pPr>
        <w:pStyle w:val="Paragrafoelenco"/>
        <w:spacing w:before="176"/>
        <w:ind w:left="283" w:right="420" w:firstLine="360"/>
        <w:rPr>
          <w:szCs w:val="24"/>
        </w:rPr>
      </w:pPr>
      <w:r w:rsidRPr="00644D8F">
        <w:rPr>
          <w:szCs w:val="24"/>
        </w:rPr>
        <w:t xml:space="preserve">Although Russian–Azerbaijani relations continued to be shaped by mutual distrust, the departure of Elchibey and the consolidation of power by the Aliyev family created more favorable conditions for pragmatic cooperation (Markedonov 2018). However, this underlying mistrust never completely vanished. At the time of writing, tensions remain pronounced, particularly in light of the incident involving the shooting down of an Azal Airlines flight and the subsequent arrests of several ethnic Azerbaijanis in Yekaterinburg between late 2024 and 2025 (De Waal 2024; Figari Barberis &amp; Zanatta 2025). </w:t>
      </w:r>
    </w:p>
    <w:p w14:paraId="2079E738" w14:textId="440D5D84" w:rsidR="00644D8F" w:rsidRPr="0054585D" w:rsidRDefault="00644D8F" w:rsidP="004F4D91">
      <w:pPr>
        <w:pStyle w:val="Paragrafoelenco"/>
        <w:spacing w:before="176"/>
        <w:ind w:left="283" w:right="420" w:firstLine="360"/>
        <w:rPr>
          <w:szCs w:val="24"/>
        </w:rPr>
      </w:pPr>
      <w:r w:rsidRPr="00644D8F">
        <w:rPr>
          <w:szCs w:val="24"/>
        </w:rPr>
        <w:t xml:space="preserve">Nevertheless, in Russian-Azerbaijani relations  there are now more areas of convergence in the foreign policy agendas of Russia and Azerbaijan than ever before. Baku has no intention of joining NATO or the EU. Just before the Kremlin's full-scale invasion of Ukraine, Azerbaijani President Ilham Aliyev visited Moscow to sign a declaration on Allied Interaction (President of Azerbaijan 2022). In April of the same year, Aliyev reaffirmed Azerbaijan's support for Ukraine's territorial integrity and called for the de-occupation of its territories. However, he stopped short of labeling Russia as the aggressor state (Izvestya 2022). In August 2024, Baku took another significant step by officially applying for BRICS membership (Huseynov 2024). </w:t>
      </w:r>
    </w:p>
    <w:p w14:paraId="6EF37C41" w14:textId="03938491" w:rsidR="00644D8F" w:rsidRPr="0054585D" w:rsidRDefault="00644D8F" w:rsidP="004F4D91">
      <w:pPr>
        <w:pStyle w:val="Paragrafoelenco"/>
        <w:spacing w:before="176"/>
        <w:ind w:left="283" w:right="420" w:firstLine="360"/>
        <w:rPr>
          <w:szCs w:val="24"/>
        </w:rPr>
      </w:pPr>
      <w:r w:rsidRPr="00644D8F">
        <w:rPr>
          <w:szCs w:val="24"/>
        </w:rPr>
        <w:t xml:space="preserve">While Azerbaijan has benefited from the Russian-Ukrainian war by positioning itself as a key exporter of natural gas to the EU, it has also sought to mitigate criticism from its Western partners regarding its authoritarian regime by fostering positive relations with Moscow (Markedonov 2018). The Kremlin has also seen Azerbaijan as a trustworthy partner in the fight against "color revolutions" in the South Caucasus (Cornell 2017; Toal 2017; Markedonov 2017). The two countries also have strong economic and energy ties. As of 2022, Azerbaijan accounted for 50% of Russia's trade with the South Caucasus, and Russian energy company Lukoil plays a crucial role in Azerbaijan's upstream hydrocarbon sector (German 2022, 1601). </w:t>
      </w:r>
    </w:p>
    <w:p w14:paraId="0DF2CA45" w14:textId="77777777" w:rsidR="00644D8F" w:rsidRPr="00644D8F" w:rsidRDefault="00644D8F" w:rsidP="004F4D91">
      <w:pPr>
        <w:pStyle w:val="Paragrafoelenco"/>
        <w:spacing w:before="176"/>
        <w:ind w:left="283" w:right="420" w:firstLine="360"/>
        <w:rPr>
          <w:szCs w:val="24"/>
        </w:rPr>
      </w:pPr>
      <w:r w:rsidRPr="00644D8F">
        <w:rPr>
          <w:szCs w:val="24"/>
        </w:rPr>
        <w:t xml:space="preserve">Ultimately, it is crucial to underscore the increasing significance of (inter)regional infrastructures within Russian-Azerbaijani relations. In fact, Azerbaijan has established Azerbaijan has become an important hub in the International North-South Transport Corridor (INSTC), which is meant itate connectivity among Russia, Iran, and India (Romashov &amp; Rytövuori-Apunen 2017). Additionally, pursuant to the trilateral ceasefire agreement of November 10, 2020, the border service agencies of Russia’s Federal Security Service (FSB) were authorized to supervise transportation links between Azerbaijan and its exclave, the Nakhichevan Autonomous Republic, through Armenia’s Syunik region. Some experts posit that Russia's interest in developing this transportation corridor is driven by the prospect of establishing a land route to Turkey (Chedia 2024). </w:t>
      </w:r>
    </w:p>
    <w:p w14:paraId="6EE9BFC9" w14:textId="095734B9" w:rsidR="00644D8F" w:rsidRPr="0054585D" w:rsidRDefault="0054585D" w:rsidP="00C33B50">
      <w:pPr>
        <w:pStyle w:val="Titolo3"/>
        <w:ind w:firstLine="283"/>
      </w:pPr>
      <w:bookmarkStart w:id="36" w:name="_Toc215742651"/>
      <w:r>
        <w:t>3.2.2.2</w:t>
      </w:r>
      <w:r w:rsidRPr="00B32F43">
        <w:t xml:space="preserve">.  The </w:t>
      </w:r>
      <w:r w:rsidR="00D729CA">
        <w:t>R</w:t>
      </w:r>
      <w:r>
        <w:t>ole of Turkey</w:t>
      </w:r>
      <w:bookmarkEnd w:id="36"/>
    </w:p>
    <w:p w14:paraId="096AB074" w14:textId="561F3A5A" w:rsidR="00644D8F" w:rsidRPr="0054585D" w:rsidRDefault="00644D8F" w:rsidP="004F4D91">
      <w:pPr>
        <w:pStyle w:val="Paragrafoelenco"/>
        <w:spacing w:before="176"/>
        <w:ind w:left="283" w:right="420" w:firstLine="360"/>
        <w:rPr>
          <w:szCs w:val="24"/>
        </w:rPr>
      </w:pPr>
      <w:r w:rsidRPr="00644D8F">
        <w:rPr>
          <w:szCs w:val="24"/>
        </w:rPr>
        <w:t xml:space="preserve">A brief discussion of Turkey's role in the Nagorno-Karabakh conflict is essential for comprehending how literature has examined the characteristics of specific Russian strategic interests in the region. In fact, because of Azerbaijan's alliance with Ankara and strategic partnership with Moscow, the dynamics in Nagorno-Karabakh strongly influence Russian-Turkish relations (Romashov &amp; Rytövuori-Apunen 2017, 8). Just as the Russian and Ottoman empires were long-standing adversaries on multiple fronts, relations between Republican Turkey, which joined NATO in 1952, and the Soviet Union were similarly complex. Nonetheless, until the official dissolution of the Soviet Union, Ankara adopted a cautious approach in its interactions with Moscow, especially for what concerned the fate of the Turkic populations residing in this country (Aras 2017, 176). </w:t>
      </w:r>
    </w:p>
    <w:p w14:paraId="66A1DC06" w14:textId="60EDBD63" w:rsidR="00644D8F" w:rsidRPr="0054585D" w:rsidRDefault="00644D8F" w:rsidP="004F4D91">
      <w:pPr>
        <w:pStyle w:val="Paragrafoelenco"/>
        <w:spacing w:before="176"/>
        <w:ind w:left="283" w:right="420" w:firstLine="360"/>
        <w:rPr>
          <w:szCs w:val="24"/>
        </w:rPr>
      </w:pPr>
      <w:r w:rsidRPr="00644D8F">
        <w:rPr>
          <w:szCs w:val="24"/>
        </w:rPr>
        <w:t xml:space="preserve">Following the end of the Cold War, Turkey adopted a foreign policy characterized by two distinct yet seemingly contradictory vectors. The first aimed to position the Caucasus as an alternative transit route for Caspian hydrocarbons, all within the broader context of Turkey's aspirations for EU candidacy and NATO membership (Oskanian 2014, 144). The second vector emerged from two prevailing currents in its geopolitical thinking, "neo-Ottomanism" and "Eurasianism" (Cheteryan 2023, 1274). The former represented the strategy of the Justice and Development Party (Adalet ve Kalkınma Partisi, or AKP), which sought to extend its influence in the provinces of the former Ottoman Empire. In contrast, the latter was an ideology embraced by Turkish nationalists aiming to assert power in the Turkic-speaking republics of the former Soviet Union. </w:t>
      </w:r>
    </w:p>
    <w:p w14:paraId="33FF571E" w14:textId="60DC221A" w:rsidR="00644D8F" w:rsidRPr="0054585D" w:rsidRDefault="00644D8F" w:rsidP="004F4D91">
      <w:pPr>
        <w:pStyle w:val="Paragrafoelenco"/>
        <w:spacing w:before="176"/>
        <w:ind w:left="283" w:right="420" w:firstLine="360"/>
        <w:rPr>
          <w:szCs w:val="24"/>
        </w:rPr>
      </w:pPr>
      <w:r w:rsidRPr="00644D8F">
        <w:rPr>
          <w:szCs w:val="24"/>
        </w:rPr>
        <w:t xml:space="preserve">It is in this context that Turkey decided to prioritize building strong ties with Azerbaijan. Broers (2019, 231) characterizes the relationship between the two countries as "geopolitically intimate." In fact, Ankara was the first country to recognize Azerbaijan's independence following the collapse of the Soviet Union and, during the First Karabakh War, provided Baku with some "passive assistance" (Coyle 2017, 43). In fact, in 1992 Ankara threatened Yerevan with the possibility of launching a military campaign, asserting its role as the security guarantor of Azerbaijan’s exclave Nakhichevan. The following year, Turkey closed its border with Armenia as a way to protest against the seizure of the Kelbajar district by Armenian forces. As of this writing, the border between the two countries remains closed. </w:t>
      </w:r>
    </w:p>
    <w:p w14:paraId="3FCFB2C7" w14:textId="3EA44861" w:rsidR="00644D8F" w:rsidRPr="0054585D" w:rsidRDefault="00644D8F" w:rsidP="004F4D91">
      <w:pPr>
        <w:pStyle w:val="Paragrafoelenco"/>
        <w:spacing w:before="176"/>
        <w:ind w:left="283" w:right="420" w:firstLine="360"/>
        <w:rPr>
          <w:szCs w:val="24"/>
        </w:rPr>
      </w:pPr>
      <w:r w:rsidRPr="00644D8F">
        <w:rPr>
          <w:szCs w:val="24"/>
        </w:rPr>
        <w:t xml:space="preserve">In the meantime, Turkey and Azerbaijan rekindled their historical and linguistic connections. The slogan "one nation, two states" (Bir millət, iki dövlət in Azerbaijani; Bir millet, iki devlet in Turkish), articulated by Azerbaijani President Heydar Aliyev during his speech to the Turkish parliament in 1995, inspired the future leaderships in the two countries to enhance their relations (Ismaiylov &amp; Graham 2016). Since then, the partnership between Turkey and Azerbaijan has expanded significantly across various domains. One of the key areas is energy politics, which has been crucial to their relationship for the past three decades (Ismayilov &amp; Graham 2016, 10). </w:t>
      </w:r>
    </w:p>
    <w:p w14:paraId="0C2A1874" w14:textId="503AFDE3" w:rsidR="00644D8F" w:rsidRPr="0054585D" w:rsidRDefault="00644D8F" w:rsidP="004F4D91">
      <w:pPr>
        <w:pStyle w:val="Paragrafoelenco"/>
        <w:spacing w:before="176"/>
        <w:ind w:left="283" w:right="420" w:firstLine="360"/>
        <w:rPr>
          <w:szCs w:val="24"/>
        </w:rPr>
      </w:pPr>
      <w:r w:rsidRPr="00644D8F">
        <w:rPr>
          <w:szCs w:val="24"/>
        </w:rPr>
        <w:t xml:space="preserve">On the diplomatic front, Turkey has consistently backed Azerbaijan during the Nagorno-Karabakh conflict, even at the cost of complicating its own efforts to normalize relations with Armenia (De Waal 2019; Broers 2019). It is crucial to recognize that Ankara's strained relationship with Yerevan stems from different factors on both sides. From the Turkish perspective, the insecurities that have plagued Turkish society since the establishment of the Republic, often referred to as the "Sèvres syndrome," play a significant role. This term encapsulates a widespread, irrational fear among the Turkish populace of being dismembered by other major powers and regional rivals (Oskanian 2014).  </w:t>
      </w:r>
    </w:p>
    <w:p w14:paraId="72D5B083" w14:textId="73DDB640" w:rsidR="00644D8F" w:rsidRPr="0054585D" w:rsidRDefault="00644D8F" w:rsidP="004F4D91">
      <w:pPr>
        <w:pStyle w:val="Paragrafoelenco"/>
        <w:spacing w:before="176"/>
        <w:ind w:left="283" w:right="420" w:firstLine="360"/>
        <w:rPr>
          <w:szCs w:val="24"/>
        </w:rPr>
      </w:pPr>
      <w:r w:rsidRPr="00644D8F">
        <w:rPr>
          <w:szCs w:val="24"/>
        </w:rPr>
        <w:t xml:space="preserve">According to Oskanian (2014, 146), the Sèvres syndrome has significantly influenced and limited the policies of successive governments in Ankara, especially in relation to Armenia and the Nagorno-Karabakh conflict. From an Armenian perspective, the Turkish government's ongoing refusal to acknowledge the Armenian genocide of 1915, coupled with its support for Azerbaijan in the conflict due to Turkic solidarity, has led Armenian society to draw parallels between the 1915 genocide and the Nagorno-Karabakh conflict, viewing both as manifestations of a Turkic threat (Gamaghelyan 2010; De Waal 2019). </w:t>
      </w:r>
    </w:p>
    <w:p w14:paraId="068F795E" w14:textId="51928D76" w:rsidR="00644D8F" w:rsidRPr="0054585D" w:rsidRDefault="00644D8F" w:rsidP="004F4D91">
      <w:pPr>
        <w:pStyle w:val="Paragrafoelenco"/>
        <w:spacing w:before="176"/>
        <w:ind w:left="283" w:right="420" w:firstLine="360"/>
        <w:rPr>
          <w:szCs w:val="24"/>
        </w:rPr>
      </w:pPr>
      <w:r w:rsidRPr="00644D8F">
        <w:rPr>
          <w:szCs w:val="24"/>
        </w:rPr>
        <w:t xml:space="preserve">Furthermore, Azerbaijan's stance towards Turkish-Armenian relations adds another layer of complexity (Broers 2019; De Waal 2019). In October 2009, the foreign ministers of Armenia and Turkey signed two protocols in Switzerland aimed at restoring relations and reopening their border. However, since these agreements did not explicitly address the Nagorno-Karabakh conflict, Azerbaijan strongly opposed them. De Waal (2019, 243) writes that Azerbaijani officials protested vigorously in Ankara against the protocols, even threatening to renegotiate Baku's gas supplies to Turkey. Overall, then Turkish Prime Minister Recep Tayyip Erdoğan called for Armenia to withdraw from the occupied territories that same year. As a result, the protocols were not ratified, and relations between Armenia and Turkey deteriorated even further.  </w:t>
      </w:r>
    </w:p>
    <w:p w14:paraId="4796F2F6" w14:textId="49284FFD" w:rsidR="00644D8F" w:rsidRPr="0054585D" w:rsidRDefault="00644D8F" w:rsidP="004F4D91">
      <w:pPr>
        <w:pStyle w:val="Paragrafoelenco"/>
        <w:spacing w:before="176"/>
        <w:ind w:left="283" w:right="420" w:firstLine="360"/>
        <w:rPr>
          <w:szCs w:val="24"/>
        </w:rPr>
      </w:pPr>
      <w:r w:rsidRPr="00644D8F">
        <w:rPr>
          <w:szCs w:val="24"/>
        </w:rPr>
        <w:t xml:space="preserve">Military cooperation has been a crucial cornerstone of Turkish-Azerbaijani relations since the early 1990s (Hovsepyan &amp; Tonoyan 2024). Baku and Ankara have signed several agreements and protocols, including the 2010 Strategic Partnership and Mutual Assistance Agreement, to strengthen their security collaboration. This framework facilitated Turkey's increasing involvement in Azerbaijan’s efforts to retake Nagorno-Karabakh (Isachenko 2020). During the Second Karabakh War, Turkey not only deployed Syrian mercenaries to support Azerbaijani forces but also provided military, logistical, and intelligence assistance to its ally (Racz 2020, 2). Turkey's support for Azerbaijan during the war has strengthened its position in the South Caucasus, as evidenced by the establishment of the Turkish-Russian monitoring center in Aghdam, which emerged as one of the key outcomes of the conflict (Gafarli 2022). Furthermore, in June 2021, Baku and Ankara signed the Shusha declaration on allied relations (President of Azerbaijan 2021). </w:t>
      </w:r>
    </w:p>
    <w:p w14:paraId="113A22E7" w14:textId="156430AD" w:rsidR="00644D8F" w:rsidRPr="0054585D" w:rsidRDefault="00644D8F" w:rsidP="004F4D91">
      <w:pPr>
        <w:pStyle w:val="Paragrafoelenco"/>
        <w:spacing w:before="176"/>
        <w:ind w:left="283" w:right="420" w:firstLine="360"/>
        <w:rPr>
          <w:szCs w:val="24"/>
        </w:rPr>
      </w:pPr>
      <w:r w:rsidRPr="00644D8F">
        <w:rPr>
          <w:szCs w:val="24"/>
        </w:rPr>
        <w:t xml:space="preserve">In the 1990s, the Russian elite perceived the close partnership between Azerbaijan and Turkey as an attempt by a NATO member to undermine its interests in the post-Soviet space (Croissant 1998). When Ankara threatened military intervention against Armenia, Russian Foreign Minister Andrey Kozyrev stated that the Kremlin would protect Yerevan from any potential military actions by its Turkish neighbor (Ter-Matevosyan &amp; Ghazaryan 2019, 184). In light of these considerations, some observers used to warn that one of the biggest risks of the Nagorno-Karabakh dispute was the potential for it to escalate into a broader confrontation between Turkey and Russia (Ter-Matevosyan &amp; Ghazaryan 2019).  </w:t>
      </w:r>
    </w:p>
    <w:p w14:paraId="53B494F9" w14:textId="78A71178" w:rsidR="00644D8F" w:rsidRPr="0054585D" w:rsidRDefault="00644D8F" w:rsidP="004F4D91">
      <w:pPr>
        <w:pStyle w:val="Paragrafoelenco"/>
        <w:spacing w:before="176"/>
        <w:ind w:left="283" w:right="420" w:firstLine="360"/>
        <w:rPr>
          <w:szCs w:val="24"/>
        </w:rPr>
      </w:pPr>
      <w:r w:rsidRPr="00644D8F">
        <w:rPr>
          <w:szCs w:val="24"/>
        </w:rPr>
        <w:t xml:space="preserve">However, following the suspension of EU-Turkey talks regarding Ankara's membership in December 2006 and a general decline in Turkish-Western relations, Russian-Turkish relations have improved (Aras 2017). Aras (2017) notes that Turkey recognized Russia's continued significance as a key player in the geostrategic dynamics of the South Caucasus and saw potential for collaboration with Moscow, especially as the conflicts in Chechnya during the 1990s threatened to escalate beyond Russia's borders. Consequently, Ankara adopted a largely pragmatic and non-aggressive approach toward Moscow, which helped to reassure the Kremlin regarding Turkey's interests in exploiting secessionist movements among Turkic populations in Russia. </w:t>
      </w:r>
    </w:p>
    <w:p w14:paraId="6323FC17" w14:textId="2E23CACD" w:rsidR="00644D8F" w:rsidRPr="0054585D" w:rsidRDefault="00644D8F" w:rsidP="004F4D91">
      <w:pPr>
        <w:pStyle w:val="Paragrafoelenco"/>
        <w:spacing w:before="176"/>
        <w:ind w:left="283" w:right="420" w:firstLine="360"/>
        <w:rPr>
          <w:szCs w:val="24"/>
        </w:rPr>
      </w:pPr>
      <w:r w:rsidRPr="00644D8F">
        <w:rPr>
          <w:szCs w:val="24"/>
        </w:rPr>
        <w:t xml:space="preserve">In the wake of the 2016 Russo-Turkish crisis in Syria, triggered by Turkey's downing of a Russian Su-24 aircraft on its way to the Khmeimim airbase in December 2015, Ankara and Moscow inaugurated a relationship that, in the words of Cheteryan (2023, 1271), combines elements of a tactical alliance with strategic competition. Despite being engaged in a rival geopolitical axes stretching from Syria to Libya and ultimately to the South Caucasus, the two sides effectively collaborated on the implementation of energy projects, including the Akkuyu Nuclear Power Plant and the Turkish Stream (2018). Also, in 2017 Turkey signed an agreement with Russia for the acquisition of its S-400 air defense system (Gafarli 2022, 360-361).  </w:t>
      </w:r>
    </w:p>
    <w:p w14:paraId="4D0F88B9" w14:textId="2DF4DC4F" w:rsidR="00644D8F" w:rsidRDefault="00644D8F" w:rsidP="004F4D91">
      <w:pPr>
        <w:pStyle w:val="Paragrafoelenco"/>
        <w:spacing w:before="176"/>
        <w:ind w:left="283" w:right="420" w:firstLine="360"/>
        <w:rPr>
          <w:szCs w:val="24"/>
        </w:rPr>
      </w:pPr>
      <w:r w:rsidRPr="00644D8F">
        <w:rPr>
          <w:szCs w:val="24"/>
        </w:rPr>
        <w:t xml:space="preserve">Following Russia’s full-scale invasion of Ukraine, Turkey opted not to participate in the Western economic and financial sanctions imposed against the Kremlin (Cheteryan 2023, 1273). Instead, Ankara took advantage of the conflict and the changing world situation to improve its economic and energy ties with Moscow (Cheteryan 2023, 1286). Turkey has positioned itself as a mediator between the warring parties, striving to balance its relationships with Ukraine and the West on one side and Russia on the other. For example, in July 2022, Ankara played a crucial role, alongside the UN, in facilitating an agreement between Ukraine and Russia to resume Ukrainian grain exports through Black Sea ports (Reuters 2022). </w:t>
      </w:r>
    </w:p>
    <w:p w14:paraId="727F2744" w14:textId="47083B8D" w:rsidR="00644D8F" w:rsidRPr="0054585D" w:rsidRDefault="0054585D" w:rsidP="00C33B50">
      <w:pPr>
        <w:pStyle w:val="Titolo3"/>
        <w:ind w:firstLine="283"/>
      </w:pPr>
      <w:bookmarkStart w:id="37" w:name="_Toc215742652"/>
      <w:r>
        <w:t>3.2.</w:t>
      </w:r>
      <w:r w:rsidRPr="00B32F43">
        <w:t xml:space="preserve">2.3.  </w:t>
      </w:r>
      <w:r>
        <w:t xml:space="preserve">Main </w:t>
      </w:r>
      <w:r w:rsidR="00D729CA">
        <w:t>M</w:t>
      </w:r>
      <w:r>
        <w:t xml:space="preserve">ediator, </w:t>
      </w:r>
      <w:r w:rsidR="00D729CA">
        <w:t>M</w:t>
      </w:r>
      <w:r>
        <w:t xml:space="preserve">ain </w:t>
      </w:r>
      <w:r w:rsidR="00D729CA">
        <w:t>W</w:t>
      </w:r>
      <w:r>
        <w:t xml:space="preserve">eapons’ </w:t>
      </w:r>
      <w:r w:rsidR="00D729CA">
        <w:t>S</w:t>
      </w:r>
      <w:r>
        <w:t>upplier</w:t>
      </w:r>
      <w:bookmarkEnd w:id="37"/>
    </w:p>
    <w:p w14:paraId="402EFE1E" w14:textId="0DF8CBBB" w:rsidR="00644D8F" w:rsidRPr="0054585D" w:rsidRDefault="00644D8F" w:rsidP="004F4D91">
      <w:pPr>
        <w:pStyle w:val="Paragrafoelenco"/>
        <w:spacing w:before="176"/>
        <w:ind w:left="283" w:right="420" w:firstLine="360"/>
        <w:rPr>
          <w:szCs w:val="24"/>
        </w:rPr>
      </w:pPr>
      <w:r w:rsidRPr="00644D8F">
        <w:rPr>
          <w:szCs w:val="24"/>
        </w:rPr>
        <w:t xml:space="preserve">Following the facilitation of the signing of the Bishkek Protocol in 1994, Russia assumed the role of the principal mediator in the Nagorno-Karabakh conflict. Initially, its engagement was predominantly nominal, confined primarily to its capacity as a co-chair of the OSCE Minsk Group. As noted by John Maresca (1996), who served as US Ambassador to the OSCE and was appointed as the special representative for mediation in Nagorno-Karabakh, the Kremlin grew increasingly dissatisfied with the Minsk Group and began to boycott its activities.  </w:t>
      </w:r>
    </w:p>
    <w:p w14:paraId="1BFFE9B0" w14:textId="67754A76" w:rsidR="00644D8F" w:rsidRPr="0054585D" w:rsidRDefault="00644D8F" w:rsidP="004F4D91">
      <w:pPr>
        <w:pStyle w:val="Paragrafoelenco"/>
        <w:spacing w:before="176"/>
        <w:ind w:left="283" w:right="420" w:firstLine="360"/>
        <w:rPr>
          <w:szCs w:val="24"/>
        </w:rPr>
      </w:pPr>
      <w:r w:rsidRPr="00644D8F">
        <w:rPr>
          <w:szCs w:val="24"/>
        </w:rPr>
        <w:t xml:space="preserve">Meanwhile, the concept of post-Soviet space as a distinct zone of interest for Russia began to take shape. In a 1993 speech, President Boris Yeltsin had already stressed that “Russia continues to have a vital interest in the cessation of all armed conflicts on the territory of the former Soviet Union” and that “the world community is increasingly coming to realize our country’s special responsibility in this difficult matter” (Baev 1997, 181). As the ostensibly liberal Andrei Kozyrev was succeeded by Yevgeny Primakov as Minister of Foreign Affairs, the pursuit of great power status and a commitment to multilateralism in international relations became central topics to Russian foreign policy. Primakov’s vision for restoring Moscow's position as a great power focused on countering U.S. unipolarity through a strategic alliance with states like China and India, as well as fostering greater integration within the Commonwealth of Independent States (CIS) (Lynch 2001). This new approach to the Nagorno-Karabakh conflict rejected the status quo as a viable solution, instead seeking a partial resolution that conformed to a broader vision of Russia-centered security in the post-Soviet space (Broers 2019).  </w:t>
      </w:r>
    </w:p>
    <w:p w14:paraId="09AB8E4F" w14:textId="42C8BEBE" w:rsidR="00644D8F" w:rsidRPr="0054585D" w:rsidRDefault="00644D8F" w:rsidP="004F4D91">
      <w:pPr>
        <w:pStyle w:val="Paragrafoelenco"/>
        <w:spacing w:before="176"/>
        <w:ind w:left="283" w:right="420" w:firstLine="360"/>
        <w:rPr>
          <w:szCs w:val="24"/>
        </w:rPr>
      </w:pPr>
      <w:r w:rsidRPr="00644D8F">
        <w:rPr>
          <w:szCs w:val="24"/>
        </w:rPr>
        <w:t xml:space="preserve">In the wake of the 2008 Russo-Georgian War, then-President Dmitry Medvedev and Foreign Minister Sergey Lavrov significantly ramped up their efforts to engage in a series of trilateral discussions with their Armenian and Azerbaijani counterparts, Serzh Sargsyan and Ilham Aliyev (Romashov &amp; Rytövuori-Apunen 2017, 5). In the same year, Russia, Armenia, and Azerbaijan signed the Moscow Declaration, through which the parties expressed their firm intention to resolve the conflict.  </w:t>
      </w:r>
    </w:p>
    <w:p w14:paraId="4A020482" w14:textId="6944A8E9" w:rsidR="00644D8F" w:rsidRPr="004F0AE8" w:rsidRDefault="00644D8F" w:rsidP="004F4D91">
      <w:pPr>
        <w:pStyle w:val="Paragrafoelenco"/>
        <w:spacing w:before="176"/>
        <w:ind w:left="283" w:right="420" w:firstLine="360"/>
        <w:rPr>
          <w:szCs w:val="24"/>
        </w:rPr>
      </w:pPr>
      <w:r w:rsidRPr="00644D8F">
        <w:rPr>
          <w:szCs w:val="24"/>
        </w:rPr>
        <w:t xml:space="preserve">Although the 2011 Kazan Summit, as previously noted, failed to achieve a political resolution to the conflict, the Kremlin maintained its position as the primary mediator in the dispute (Abushov 2019). In May 2012, Russia signed a decree with the other two co-chairs of the OSCE Minsk Group (France and the United States) where it reaffirmed its commitment to a peaceful resolution of the Nagorno-Karabakh conflict. Point 49 of the 2013 Foreign Policy Concept of the Russian Federation pointed out that Moscow’s aim was to “contribute to the settlement of the Nagorny Karabakh conflict in collaboration with other OSCE Minsk Group Co-Chairs, building on the principles contained in the joint statements made by the Presidents of Russia, the USA, and France in 2009-2011.”  In the same year, then-President Dmitri Medvedev reiterated the belief expressed by Yeltsin 20 years before, declaring that “Russia, like other countries in the world, has regions where it has privileged interests. These are regions where countries with which we have friendly relations are located…” (Kramer 2008, 9). </w:t>
      </w:r>
    </w:p>
    <w:p w14:paraId="4A73D979" w14:textId="77777777" w:rsidR="00644D8F" w:rsidRPr="00644D8F" w:rsidRDefault="00644D8F" w:rsidP="004F4D91">
      <w:pPr>
        <w:pStyle w:val="Paragrafoelenco"/>
        <w:spacing w:before="176"/>
        <w:ind w:left="283" w:right="420" w:firstLine="360"/>
        <w:rPr>
          <w:szCs w:val="24"/>
        </w:rPr>
      </w:pPr>
      <w:r w:rsidRPr="00644D8F">
        <w:rPr>
          <w:szCs w:val="24"/>
        </w:rPr>
        <w:t xml:space="preserve">In August 2014 and June 2016, following escalations along the line of contact between Azerbaijan and Nagorno-Karabakh, Russian President Vladimir Putin conducted bilateral discussions with Presidents Serzh Sargsyan and Ilham Aliyev, which were subsequently succeeded by trilateral negotiations. Russian officials stressed on multiple occasions how Russia’s aim was to “find mutually acceptable solutions within the shortest possible time” (MFA of the Russian Federation 2016). Finally, as previously discussed, in November 2020, the Kremlin successfully brokered a ceasefire that brought an end to the Second Karabakh War and facilitated the deployment of Russian peacekeepers in Nagorno-Karabakh. Overall, all major Russian efforts in the peace process are summarized in the following table: </w:t>
      </w:r>
    </w:p>
    <w:p w14:paraId="596AE686" w14:textId="77777777" w:rsidR="00644D8F" w:rsidRPr="00644D8F" w:rsidRDefault="00644D8F" w:rsidP="004F4D91">
      <w:pPr>
        <w:pStyle w:val="Paragrafoelenco"/>
        <w:spacing w:before="176"/>
        <w:ind w:left="283" w:right="420" w:firstLine="360"/>
        <w:rPr>
          <w:szCs w:val="24"/>
        </w:rPr>
      </w:pPr>
    </w:p>
    <w:p w14:paraId="14356977" w14:textId="601BC7EE" w:rsidR="00105922" w:rsidRDefault="00105922" w:rsidP="00105922">
      <w:pPr>
        <w:pStyle w:val="Didascalia"/>
        <w:keepNext/>
        <w:jc w:val="center"/>
      </w:pPr>
      <w:r>
        <w:rPr>
          <w:noProof/>
        </w:rPr>
        <w:drawing>
          <wp:inline distT="0" distB="0" distL="0" distR="0" wp14:anchorId="24D1DD2A" wp14:editId="221E56B9">
            <wp:extent cx="4833257" cy="6114125"/>
            <wp:effectExtent l="0" t="0" r="5715" b="1270"/>
            <wp:docPr id="7" name="Immagine 7" descr="C:\Users\morena.cuconato\AppData\Local\Microsoft\Windows\INetCache\Content.MSO\8B65BB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orena.cuconato\AppData\Local\Microsoft\Windows\INetCache\Content.MSO\8B65BB84.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1527" cy="6137237"/>
                    </a:xfrm>
                    <a:prstGeom prst="rect">
                      <a:avLst/>
                    </a:prstGeom>
                    <a:noFill/>
                    <a:ln>
                      <a:noFill/>
                    </a:ln>
                  </pic:spPr>
                </pic:pic>
              </a:graphicData>
            </a:graphic>
          </wp:inline>
        </w:drawing>
      </w:r>
    </w:p>
    <w:p w14:paraId="3C688E36" w14:textId="400831C5" w:rsidR="00B12E3E" w:rsidRPr="003A2B4A" w:rsidRDefault="00105922" w:rsidP="00105922">
      <w:pPr>
        <w:pStyle w:val="Didascalia"/>
        <w:keepNext/>
        <w:jc w:val="center"/>
        <w:rPr>
          <w:color w:val="auto"/>
          <w:sz w:val="20"/>
          <w:szCs w:val="20"/>
        </w:rPr>
      </w:pPr>
      <w:bookmarkStart w:id="38" w:name="_Toc215742701"/>
      <w:r w:rsidRPr="003A2B4A">
        <w:rPr>
          <w:color w:val="auto"/>
          <w:sz w:val="20"/>
          <w:szCs w:val="20"/>
        </w:rPr>
        <w:t xml:space="preserve">Table </w:t>
      </w:r>
      <w:r w:rsidRPr="003A2B4A">
        <w:rPr>
          <w:color w:val="auto"/>
          <w:sz w:val="20"/>
          <w:szCs w:val="20"/>
        </w:rPr>
        <w:fldChar w:fldCharType="begin"/>
      </w:r>
      <w:r w:rsidRPr="003A2B4A">
        <w:rPr>
          <w:color w:val="auto"/>
          <w:sz w:val="20"/>
          <w:szCs w:val="20"/>
        </w:rPr>
        <w:instrText xml:space="preserve"> SEQ Table \* ARABIC </w:instrText>
      </w:r>
      <w:r w:rsidRPr="003A2B4A">
        <w:rPr>
          <w:color w:val="auto"/>
          <w:sz w:val="20"/>
          <w:szCs w:val="20"/>
        </w:rPr>
        <w:fldChar w:fldCharType="separate"/>
      </w:r>
      <w:r w:rsidRPr="003A2B4A">
        <w:rPr>
          <w:noProof/>
          <w:color w:val="auto"/>
          <w:sz w:val="20"/>
          <w:szCs w:val="20"/>
        </w:rPr>
        <w:t>1</w:t>
      </w:r>
      <w:r w:rsidRPr="003A2B4A">
        <w:rPr>
          <w:color w:val="auto"/>
          <w:sz w:val="20"/>
          <w:szCs w:val="20"/>
        </w:rPr>
        <w:fldChar w:fldCharType="end"/>
      </w:r>
      <w:r w:rsidRPr="003A2B4A">
        <w:rPr>
          <w:color w:val="auto"/>
          <w:sz w:val="20"/>
          <w:szCs w:val="20"/>
        </w:rPr>
        <w:t>: Russia’s Efforts in the Nagorno-Karabakh Peace Process (1992 - 2023). (Source: the Author through Datawrapper)</w:t>
      </w:r>
      <w:bookmarkEnd w:id="38"/>
    </w:p>
    <w:p w14:paraId="2BB6E8E8" w14:textId="32D14582" w:rsidR="00644D8F" w:rsidRPr="004F0AE8" w:rsidRDefault="00644D8F" w:rsidP="004F4D91">
      <w:pPr>
        <w:pStyle w:val="Paragrafoelenco"/>
        <w:spacing w:before="176"/>
        <w:ind w:left="283" w:right="420" w:firstLine="360"/>
        <w:rPr>
          <w:szCs w:val="24"/>
        </w:rPr>
      </w:pPr>
      <w:r w:rsidRPr="00644D8F">
        <w:rPr>
          <w:szCs w:val="24"/>
        </w:rPr>
        <w:t xml:space="preserve">At the same time, Russia served as the primary arms supplier to both Yerevan and Baku during the conflict (Broers 2019; SIPRI 2020). A 2020 report from the Stockholm International Peace Research Institute (SIPRI) estimates that from 2011 to 2020, Moscow provided 94 percent of Armenia's major arms and approximately 60 percent of those for Azerbaijan. According to some experts (Romashov &amp; Rytövuori-Apunen 2017), this practice was motivated by Russia’s necessity of maintaining control over the arms race. In fact, if Russia were to supply weapons exclusively to Armenia while Azerbaijan sourced armaments from other countries, Russia's influence over Azerbaijan's military capabilities would be significantly diminished. Furthermore, economic considerations led to the export of arms to both nations. As will be discussed later, Armenia purchases weapons from Russia at discounted prices, whereas Azerbaijan acquires them at full price (Markedonov 2018; Broers 2019; De Waal 2019). Consequently, by exporting weapons to both countries, Moscow aimed to offset the financial losses incurred from supplying arms to Armenia on preferential terms (Romashov &amp; Rytövuori-Apunen 2017, 6). </w:t>
      </w:r>
    </w:p>
    <w:p w14:paraId="7D8B6966" w14:textId="17C86F90" w:rsidR="00644D8F" w:rsidRPr="004F0AE8" w:rsidRDefault="00644D8F" w:rsidP="004F4D91">
      <w:pPr>
        <w:pStyle w:val="Paragrafoelenco"/>
        <w:spacing w:before="176"/>
        <w:ind w:left="283" w:right="420" w:firstLine="360"/>
        <w:rPr>
          <w:szCs w:val="24"/>
        </w:rPr>
      </w:pPr>
      <w:r w:rsidRPr="00644D8F">
        <w:rPr>
          <w:szCs w:val="24"/>
        </w:rPr>
        <w:t xml:space="preserve">Russia’s multiple and contrasting roles—Armenia's ally, Azerbaijan’s strategic partner, primary mediator, and primary arms supplier—have sparked discussions about the Kremlin's (un)willingness and/or (in)capacity to effectively resolve the Armenian-Azerbaijani rivalry. Some Western observers have examined Russia's involvement in Nagorno-Karabakh within the broader context of "frozen conflicts" in the post-Soviet space. According to this thesis, the Kremlin had either exploited or even created the unresolved conflicts in Nagorno-Karabakh, Transnistria, Abkhazia, and South Ossetia for maintaining its grip on the post-Soviet space (Rutland 2007; Blank 2008; Coyle 2017; Kazantsev et al. 2020; Sieniawski 2024). Coyle (2020, 165) writes, “Russia supplied the weaponry to create a hot war [First Karabakh War] in 1992, and it has supplied the diplomacy that has kept the conflict “frozen” but not resolved ever since.” </w:t>
      </w:r>
    </w:p>
    <w:p w14:paraId="7ECB9919" w14:textId="036EF118" w:rsidR="00644D8F" w:rsidRPr="004F0AE8" w:rsidRDefault="00644D8F" w:rsidP="004F4D91">
      <w:pPr>
        <w:pStyle w:val="Paragrafoelenco"/>
        <w:spacing w:before="176"/>
        <w:ind w:left="283" w:right="420" w:firstLine="360"/>
        <w:rPr>
          <w:szCs w:val="24"/>
        </w:rPr>
      </w:pPr>
      <w:r w:rsidRPr="00644D8F">
        <w:rPr>
          <w:szCs w:val="24"/>
        </w:rPr>
        <w:t xml:space="preserve">Broers (2019) uses the term "Pivotal Deterrence," which Crawford first used, to talk about how Russia's different roles in the conflict affect each other. Both Broers (2019) and Crawford (2012) argue that pivotal deterrence occurs when an actor successfully instills uncertainty in its targets. In the context of Nagorno-Karabakh, the ambiguity surrounding Russia's roles led to a cautious approach from Azerbaijan, even though its military capabilities outmatched those of Armenia. Conversely, this uncertainty cultivated a sense of dependence on Moscow in Armenia, which allowed the Kremlin to dissuade Yerevan from pursuing a more pro-Western foreign policy. However, this theory has some clear limits. As the same Broers admits, this dynamic is only effective if neither side has viable alternative alliances. As discussed in this chapter, Baku successfully forged strategic and allied relations with Turkey and expanded its military capabilities by importing arms from Israel. </w:t>
      </w:r>
    </w:p>
    <w:p w14:paraId="6F9F7A20" w14:textId="247D921A" w:rsidR="00644D8F" w:rsidRPr="004F0AE8" w:rsidRDefault="00644D8F" w:rsidP="004F4D91">
      <w:pPr>
        <w:pStyle w:val="Paragrafoelenco"/>
        <w:spacing w:before="176"/>
        <w:ind w:left="283" w:right="420" w:firstLine="360"/>
        <w:rPr>
          <w:szCs w:val="24"/>
        </w:rPr>
      </w:pPr>
      <w:r w:rsidRPr="00644D8F">
        <w:rPr>
          <w:szCs w:val="24"/>
        </w:rPr>
        <w:t xml:space="preserve">In contrast, Russian scholars emphasized how, despite significant efforts to resolve the conflict, Moscow lacked the necessary leverage over both parties to compel them to start the peace process (Markedonov 2018; Suchkov 2018; Sushentsov &amp; Neklyudov 2020). As Markedonov (2018, 5) writes, “Baku and Yerevan do not show any signs of reaching a compromise; their maximalist approaches determine their foreign policy, and Karabakh itself in the Armenian and Azerbaijani societies is perceived to some extent as sacred territory. In such circumstances, Moscow is not interested in accepting exclusive responsibility and accelerating any solutions, especially due to the difficulty of implementing any prospective agreements. In case such agreements failed, this would pose some extra risks to Moscow’s reputation and might sour its security environment.” Other scholars adopted a stance that might be considered as in-between these approaches, noting that the Kremlin, though playing an important role in the conflict and undoubtedly benefiting from the status quo, was not instigating it (Abushov 2019; De Waal 2019). Abushov (2019) contends that Russia favored the peace process and sincerely invested in its resolution. However, it avoided exerting much pressure on the conflicting parties. </w:t>
      </w:r>
    </w:p>
    <w:p w14:paraId="7AD4CDEE" w14:textId="61D0E0E9" w:rsidR="00644D8F" w:rsidRPr="004F0AE8" w:rsidRDefault="004F0AE8" w:rsidP="00C33B50">
      <w:pPr>
        <w:pStyle w:val="Titolo3"/>
        <w:ind w:firstLine="283"/>
      </w:pPr>
      <w:bookmarkStart w:id="39" w:name="_Toc215742653"/>
      <w:r>
        <w:t>3</w:t>
      </w:r>
      <w:r w:rsidRPr="00B32F43">
        <w:t>.</w:t>
      </w:r>
      <w:r>
        <w:t>2.2.4</w:t>
      </w:r>
      <w:r w:rsidRPr="00B32F43">
        <w:t xml:space="preserve">.  </w:t>
      </w:r>
      <w:r>
        <w:t xml:space="preserve">Cooperation and </w:t>
      </w:r>
      <w:r w:rsidR="00D729CA">
        <w:t>R</w:t>
      </w:r>
      <w:r>
        <w:t>ivalry with the West</w:t>
      </w:r>
      <w:bookmarkEnd w:id="39"/>
      <w:r>
        <w:t xml:space="preserve"> </w:t>
      </w:r>
    </w:p>
    <w:p w14:paraId="34D71E92" w14:textId="75EC52CE" w:rsidR="00644D8F" w:rsidRPr="004F0AE8" w:rsidRDefault="00644D8F" w:rsidP="004F4D91">
      <w:pPr>
        <w:pStyle w:val="Paragrafoelenco"/>
        <w:spacing w:before="176"/>
        <w:ind w:left="283" w:right="420" w:firstLine="360"/>
        <w:rPr>
          <w:szCs w:val="24"/>
        </w:rPr>
      </w:pPr>
      <w:r w:rsidRPr="00644D8F">
        <w:rPr>
          <w:szCs w:val="24"/>
        </w:rPr>
        <w:t xml:space="preserve">An important aspect to consider is the role of the West, which plays an important role in Russian foreign policy. The US and the EU have expanded their regional footprint since the 1994 signing of the "Contract of the Century" with Azerbaijan (MacFarlane 1999). Initially, their involvement mostly focused on energy transit routes for hydrocarbon deposits, such as the proposed Nabucco gas pipeline, the Baku–Tbilisi–Çeyhan oil pipeline, and the Southern Gas Corridor. These initiatives have strategic importance as they allow the EU to diversify their hydrocarbon imports from Russia. Additionally, the US entered the military and political spheres by promoting Georgia's inclusion in NATO, at least under the G.W. Bush administration, before lowering its aspirations during the Obama administration (Lynch 2006, 51–54).  </w:t>
      </w:r>
    </w:p>
    <w:p w14:paraId="4E9447FD" w14:textId="3FAF6293" w:rsidR="00644D8F" w:rsidRPr="004F0AE8" w:rsidRDefault="00644D8F" w:rsidP="004F4D91">
      <w:pPr>
        <w:pStyle w:val="Paragrafoelenco"/>
        <w:spacing w:before="176"/>
        <w:ind w:left="283" w:right="420" w:firstLine="360"/>
        <w:rPr>
          <w:szCs w:val="24"/>
        </w:rPr>
      </w:pPr>
      <w:r w:rsidRPr="00644D8F">
        <w:rPr>
          <w:szCs w:val="24"/>
        </w:rPr>
        <w:t xml:space="preserve">The EU also started to play an important role in the security environment of the region. After that, in 2003, it had appointed its first Special Representative for the region (EUSR), the EU facilitated the agreement that brought an end to the hostilities during the Russia-Georgia war in August 2008 (Hedenskog 2022). Since then, Brussels has co-chaired the Geneva International Discussions along with Georgia, Russia, and the representatives of the two de facto republics of Abkhazia and South Ossetia, which focus on addressing the post-conflict setting (Hedenskog 2022).  </w:t>
      </w:r>
    </w:p>
    <w:p w14:paraId="28469A3A" w14:textId="20D535C9" w:rsidR="00644D8F" w:rsidRPr="004F0AE8" w:rsidRDefault="00644D8F" w:rsidP="004F4D91">
      <w:pPr>
        <w:pStyle w:val="Paragrafoelenco"/>
        <w:spacing w:before="176"/>
        <w:ind w:left="283" w:right="420" w:firstLine="360"/>
        <w:rPr>
          <w:szCs w:val="24"/>
        </w:rPr>
      </w:pPr>
      <w:r w:rsidRPr="00644D8F">
        <w:rPr>
          <w:szCs w:val="24"/>
        </w:rPr>
        <w:t xml:space="preserve">In May 2022, Charles Michel, President of the European Council, convened the leaders of Armenia and Azerbaijan in Brussels. He emphasized the critical importance of ensuring stability and security along the Armenia-Azerbaijan border as the delimitation process is undertaken, particularly in light of the historic meeting of both countries' border commissions scheduled for two days later (Hedenskog 2022). Furthermore, in October 2022, the EU further solidified its commitment to conflict resolution by initiating a short-term civilian monitoring mission along the internationally recognized border between Armenia and Azerbaijan (De Waal 2023). </w:t>
      </w:r>
    </w:p>
    <w:p w14:paraId="47750147" w14:textId="61EF30F1" w:rsidR="00644D8F" w:rsidRPr="004F0AE8" w:rsidRDefault="00644D8F" w:rsidP="004F4D91">
      <w:pPr>
        <w:pStyle w:val="Paragrafoelenco"/>
        <w:spacing w:before="176"/>
        <w:ind w:left="283" w:right="420" w:firstLine="360"/>
        <w:rPr>
          <w:szCs w:val="24"/>
        </w:rPr>
      </w:pPr>
      <w:r w:rsidRPr="00644D8F">
        <w:rPr>
          <w:szCs w:val="24"/>
        </w:rPr>
        <w:t xml:space="preserve">Over time, Russia began to perceive these Western efforts as tools to encircle it with governments that were either hostile or unfriendly. Russian apprehensions intensified with the rise of democratic movements in Ukraine (the Orange Revolution of 2004-2005), Kyrgyzstan (the Tulip Revolution in 2005), and Georgia (the Rose Revolution in 2003). Moscow perceived these uprisings not as spontaneous events but as orchestrated efforts by the West to establish anti-Russian, pro-Western regimes, thereby undermining its influence in the post-Soviet space (Toal 2017). </w:t>
      </w:r>
    </w:p>
    <w:p w14:paraId="293B3D05" w14:textId="343C9963" w:rsidR="00644D8F" w:rsidRPr="004F0AE8" w:rsidRDefault="00644D8F" w:rsidP="004F4D91">
      <w:pPr>
        <w:pStyle w:val="Paragrafoelenco"/>
        <w:spacing w:before="176"/>
        <w:ind w:left="283" w:right="420" w:firstLine="360"/>
        <w:rPr>
          <w:szCs w:val="24"/>
        </w:rPr>
      </w:pPr>
      <w:r w:rsidRPr="00644D8F">
        <w:rPr>
          <w:szCs w:val="24"/>
        </w:rPr>
        <w:t xml:space="preserve">Consequently, Russia became increasingly determined to prevent similar developments in the region. When NATO announced in 2008 that Georgia would eventually join the alliance, Russia stressed that it would not tolerate such a shift and intervened in support of Abkhazia and South Ossetia in their conflict with the Georgian government (Toal 2017). In this context, some scholars contended that one of Russia's interests in the Nagorno-Karabakh conflict was to mitigate the increasing Western influence in the region (Toal 2017). </w:t>
      </w:r>
    </w:p>
    <w:p w14:paraId="0E9E23A5" w14:textId="5D47D089" w:rsidR="00644D8F" w:rsidRPr="004F0AE8" w:rsidRDefault="00644D8F" w:rsidP="004F4D91">
      <w:pPr>
        <w:pStyle w:val="Paragrafoelenco"/>
        <w:spacing w:before="176"/>
        <w:ind w:left="283" w:right="420" w:firstLine="360"/>
        <w:rPr>
          <w:szCs w:val="24"/>
        </w:rPr>
      </w:pPr>
      <w:r w:rsidRPr="00644D8F">
        <w:rPr>
          <w:szCs w:val="24"/>
        </w:rPr>
        <w:t xml:space="preserve">However, not all scholars concur with this perspective. For instance, Romashov &amp; Rytövuori-Apunen (2017, 6) contend that, following 2008, it became essential for Russia to communicate to the West that the situation in Nagorno-Karabakh was distinct from the events in Georgia, and it sought to collaborate on a peace proposal for the region. According to Markedonov (2017, 137), Russia actively engaged with the West through the OSCE Minsk Group. Mankoff (2012, 10-11) notes that Moscow’s mediating role within the Minsk Group was strongly supported by the United States and France, exemplifying US-Russian cooperation in the post-Soviet space. </w:t>
      </w:r>
    </w:p>
    <w:p w14:paraId="5AE44590" w14:textId="77891229" w:rsidR="00644D8F" w:rsidRPr="004F0AE8" w:rsidRDefault="00644D8F" w:rsidP="004F4D91">
      <w:pPr>
        <w:pStyle w:val="Paragrafoelenco"/>
        <w:spacing w:before="176"/>
        <w:ind w:left="283" w:right="420" w:firstLine="360"/>
        <w:rPr>
          <w:szCs w:val="24"/>
        </w:rPr>
      </w:pPr>
      <w:r w:rsidRPr="00644D8F">
        <w:rPr>
          <w:szCs w:val="24"/>
        </w:rPr>
        <w:t xml:space="preserve">Even after hostilities erupted between Armenia and Azerbaijan in April 2016, the Kremlin did not attempt to position its mediation efforts as a viable alternative to those of the Minsk Group. Instead, it framed its actions as complementary to the Minsk Group’s initiatives (Markedonov 2017). Following Moscow’s full-scale invasion of Ukraine, Russia claimed that the other two countries had ceased their cooperation within the Minsk Group framework. However, the United States refuted these allegations, asserting that it still valued the format (Chanadiri 2022). </w:t>
      </w:r>
    </w:p>
    <w:p w14:paraId="72B4C598" w14:textId="7DECC54E" w:rsidR="00644D8F" w:rsidRPr="004F0AE8" w:rsidRDefault="00644D8F" w:rsidP="004F4D91">
      <w:pPr>
        <w:pStyle w:val="Paragrafoelenco"/>
        <w:spacing w:before="176"/>
        <w:ind w:left="283" w:right="420" w:firstLine="360"/>
        <w:rPr>
          <w:szCs w:val="24"/>
        </w:rPr>
      </w:pPr>
      <w:r w:rsidRPr="00644D8F">
        <w:rPr>
          <w:szCs w:val="24"/>
        </w:rPr>
        <w:t xml:space="preserve">Overall, the literature has covered Russia’s role in the Nagorno-Karabakh conflict mainly in terms of outcome-based practices. I posit that this dynamic unfolded mainly due to two factors. First, for a long time, academic debate both within and outside Russia has portrayed the Kremlin's foreign policy in the South Caucasus as heavily reliant on its military power and focused on balancing the presence of regional and non-regional competitors in the region. Additionally, several distinguished authorities on the Nagorno-Karabakh conflict, many of whom possess significant connections to the realm of policy analysis, have reiterated this prevailing perspective (De Waal 2019; Broers 2019). While these contributions offer valuable insights into the South Caucasus conflicts, they often fail to incorporate elements of social constructivism, such as situated meanings, historical contexts, and the cognitive and emotional aspects of Russian foreign policy. </w:t>
      </w:r>
    </w:p>
    <w:p w14:paraId="1C0D5760" w14:textId="77777777" w:rsidR="00644D8F" w:rsidRPr="00644D8F" w:rsidRDefault="00644D8F" w:rsidP="004F4D91">
      <w:pPr>
        <w:pStyle w:val="Paragrafoelenco"/>
        <w:spacing w:before="176"/>
        <w:ind w:left="283" w:right="420" w:firstLine="360"/>
        <w:rPr>
          <w:szCs w:val="24"/>
        </w:rPr>
      </w:pPr>
      <w:r w:rsidRPr="00644D8F">
        <w:rPr>
          <w:szCs w:val="24"/>
        </w:rPr>
        <w:t xml:space="preserve">Second, scholars who explore the identity dimension of the Nagorno-Karabakh conflict tend to focus on its ethnopolitical roots and their influence on Armenian and Azerbaijani nationhood (Gamaghelyan 2010; Oskanian 2013; Saparov 2014). However, like much of the scholarship on Russian foreign policy, they neglect the subjective implications of the conflict for Russia, which has been involved in the political affairs surrounding Nagorno-Karabakh since the 19th century. </w:t>
      </w:r>
    </w:p>
    <w:p w14:paraId="50CCEF4E" w14:textId="38445470" w:rsidR="00644D8F" w:rsidRPr="004F0AE8" w:rsidRDefault="004F0AE8" w:rsidP="00C33B50">
      <w:pPr>
        <w:pStyle w:val="Titolo3"/>
        <w:ind w:firstLine="283"/>
      </w:pPr>
      <w:bookmarkStart w:id="40" w:name="_Toc215742654"/>
      <w:r>
        <w:t>3</w:t>
      </w:r>
      <w:r w:rsidRPr="00B32F43">
        <w:t>.</w:t>
      </w:r>
      <w:r>
        <w:t>2.3</w:t>
      </w:r>
      <w:r w:rsidRPr="00B32F43">
        <w:t>.  The</w:t>
      </w:r>
      <w:r>
        <w:t xml:space="preserve"> </w:t>
      </w:r>
      <w:r w:rsidR="00D729CA">
        <w:t>E</w:t>
      </w:r>
      <w:r>
        <w:t>nd of the Nagorno-Karabakh Republic</w:t>
      </w:r>
      <w:bookmarkEnd w:id="40"/>
    </w:p>
    <w:p w14:paraId="2558BE95" w14:textId="471147A9" w:rsidR="00644D8F" w:rsidRPr="004F0AE8" w:rsidRDefault="00644D8F" w:rsidP="004F4D91">
      <w:pPr>
        <w:pStyle w:val="Paragrafoelenco"/>
        <w:spacing w:before="176"/>
        <w:ind w:left="283" w:right="420" w:firstLine="360"/>
        <w:rPr>
          <w:szCs w:val="24"/>
        </w:rPr>
      </w:pPr>
      <w:r w:rsidRPr="00644D8F">
        <w:rPr>
          <w:szCs w:val="24"/>
        </w:rPr>
        <w:t xml:space="preserve">Among the several interpretations provided for why Russia decided not to halt the Azerbaijani offensive in September 2023, some observers (Chawryło &amp; Bartosiewicz 2023; Sabbagh 2023; De Waal 2024) have argued that Russia's lack of response to Azerbaijan's actions in Nagorno-Karabakh was mainly due to its focus on the war in Ukraine, which left it unable to address other regional issues. Although it is documented that the Russian military’s invasion of Ukraine prompted the withdrawal of a significant number of skilled personnel from its peacekeeping forces in Nagorno-Karabakh, as well as from bases in Abkhazia, South Ossetia, and Armenia (JamsNews 2022), this perspective overlooks earlier and concurrent events that, regardless of the situation on the Ukrainian battlefield, already signaled Moscow’s declining commitment to fulfilling its security responsibilities in the region. </w:t>
      </w:r>
    </w:p>
    <w:p w14:paraId="4658BCC3" w14:textId="040D4AF3" w:rsidR="00644D8F" w:rsidRPr="004F0AE8" w:rsidRDefault="00644D8F" w:rsidP="004F4D91">
      <w:pPr>
        <w:pStyle w:val="Paragrafoelenco"/>
        <w:spacing w:before="176"/>
        <w:ind w:left="283" w:right="420" w:firstLine="360"/>
        <w:rPr>
          <w:szCs w:val="24"/>
        </w:rPr>
      </w:pPr>
      <w:r w:rsidRPr="00644D8F">
        <w:rPr>
          <w:szCs w:val="24"/>
        </w:rPr>
        <w:t xml:space="preserve">For instance, in December 2020, way before the start of Russia’s full-scale invasion of Ukraine, Russian peacekeepers failed to stop Azerbaijani forces from taking control of two villages in Nagorno-Karabakh that were supposedly within their area of responsibility under the terms of the November 2020 trilateral ceasefire agreement. (Shahverdyan 2024). In May and November 2021, Azerbaijani troops carried out incursions into Armenia’s Syunik and Gegharkunik provinces, despite Yerevan’s appeals for intervention from the CSTO (De Waal 2023). In March 2022, shortly after the war in Ukraine started, Azerbaijani troops moved further into the area that the Russian peacekeeping force was supposed to be in charge of (De Waal 2023). In March 2022, shortly after the onset of the war in Ukraine, Azerbaijani forces further advanced into the territory within the area of responsibility designated to the Russian peacekeeping contingent (De Waal 2023). Finally, in December 2022, Baku blocked the Lachin corridor, the only route connecting Nagorno-Karabakh to Armenia and the outside world, with Russian peacekeepers either failing or choosing not to intervene to reopen it (Shahverdyan 2024). These events show that Moscow had already failed to respond meaningfully to Azerbaijan's renewed assertiveness in Nagorno-Karabakh and against Armenia, even before the full-scale war in Ukraine and right after it. </w:t>
      </w:r>
    </w:p>
    <w:p w14:paraId="382906B0" w14:textId="61E694A7" w:rsidR="00644D8F" w:rsidRPr="004F0AE8" w:rsidRDefault="00644D8F" w:rsidP="004F4D91">
      <w:pPr>
        <w:pStyle w:val="Paragrafoelenco"/>
        <w:spacing w:before="176"/>
        <w:ind w:left="283" w:right="420" w:firstLine="360"/>
        <w:rPr>
          <w:szCs w:val="24"/>
        </w:rPr>
      </w:pPr>
      <w:r w:rsidRPr="00644D8F">
        <w:rPr>
          <w:szCs w:val="24"/>
        </w:rPr>
        <w:t xml:space="preserve">Other analysts (Broers 2023; Krivosheev 2024; Von Essen &amp; Hedenskog 2024) have suggested that Moscow prioritized its relationship with Baku due to strategic factors, including the country's significance for Russia's connectivity projects with Iran and India, as well as the need to avoid straining ties with Turkey, Baku’s main regional ally. However, this perspective also neglects important implications that are essential for fully understanding Russia’s foreign and security policies in the South Caucasus. The first is that, in the aftermath of Azerbaijan’s military operation in Nagorno-Karabakh, relations between Russia and Armenia, which had traditionally been viewed as Moscow’s outpost in the region, have sharply deteriorated. Since then, Yerevan has increasingly pivoted toward the West and India to diversify its security partnerships, sought to normalize relations with neighboring Turkey, whose role in regional dynamics has significantly expanded, and signaled its intent to withdraw from the CSTO and reduce the presence of Russian military forces on its territory (Broers 2023; De Waal 2024; Krivosheev 2024; Zanatta 2024). </w:t>
      </w:r>
    </w:p>
    <w:p w14:paraId="26FFA968" w14:textId="29EC1EAD" w:rsidR="00644D8F" w:rsidRPr="004F0AE8" w:rsidRDefault="00644D8F" w:rsidP="004F4D91">
      <w:pPr>
        <w:pStyle w:val="Paragrafoelenco"/>
        <w:spacing w:before="176"/>
        <w:ind w:left="283" w:right="420" w:firstLine="360"/>
        <w:rPr>
          <w:szCs w:val="24"/>
        </w:rPr>
      </w:pPr>
      <w:r w:rsidRPr="00644D8F">
        <w:rPr>
          <w:szCs w:val="24"/>
        </w:rPr>
        <w:t xml:space="preserve">Azerbaijan’s substantial energy resources, its close strategic partnership with Turkey, and its pivotal role in infrastructure projects linking Europe and Central Asia render it a key player for Moscow in the South Caucasus (Broers 2023). However, these same attributes enable Baku to pursue a largely autonomous foreign policy, in contrast to Armenia, which has remained heavily reliant on Russia for both security and economic support. Despite its application to join BRICS in 2024, Azerbaijan has refrained from joining the CSTO and the EAEU, which are widely regarded as instruments used by the Kremlin to secure the alignment of loyal regimes across post-Soviet Eurasia (Frost 2009; Davidzon 2022). Consequently, the conclusion of a comprehensive peace agreement between Armenia and Azerbaijan would likely empower both states to recalibrate their foreign policies in ways that diminish Russia’s influence. This shift would be especially significant given that the provisions validating Moscow’s role as the essential mediator under the 2020 ceasefire agreement would no longer hold (Fraser 2025). </w:t>
      </w:r>
    </w:p>
    <w:p w14:paraId="1ED33335" w14:textId="6463AC02" w:rsidR="00644D8F" w:rsidRPr="004F0AE8" w:rsidRDefault="00644D8F" w:rsidP="004F4D91">
      <w:pPr>
        <w:pStyle w:val="Paragrafoelenco"/>
        <w:spacing w:before="176"/>
        <w:ind w:left="283" w:right="420" w:firstLine="360"/>
        <w:rPr>
          <w:szCs w:val="24"/>
        </w:rPr>
      </w:pPr>
      <w:r w:rsidRPr="00644D8F">
        <w:rPr>
          <w:szCs w:val="24"/>
        </w:rPr>
        <w:t xml:space="preserve">The second implication regards the role of Turkey. In fact, while Russia is becoming increasingly dependent on Ankara as a regional partner due to economic isolation from sanctions and travel bans imposed by other countries following its invasion of Ukraine, this partnership also poses potential risks to Moscow’s position in the South Caucasus (Gürer &amp; Walczak 2024). From a security standpoint, it is important to note that Ankara is a NATO member, has supplied weapons to Ukraine, supported Kyiv’s NATO aspirations, and periodically denied Russian warships access to the Bosphorus Straits (Aydin et al. 2023). It is not surprising that the Kremlin has long viewed the potential expansion of NATO influence into the South Caucasus as equivalent to losing a critical strategic buffer (Herd 2005; Makarychev 2009; Oskanian 2014).  </w:t>
      </w:r>
    </w:p>
    <w:p w14:paraId="336B6937" w14:textId="3B588D9C" w:rsidR="00644D8F" w:rsidRPr="004F0AE8" w:rsidRDefault="00644D8F" w:rsidP="004F4D91">
      <w:pPr>
        <w:pStyle w:val="Paragrafoelenco"/>
        <w:spacing w:before="176"/>
        <w:ind w:left="283" w:right="420" w:firstLine="360"/>
        <w:rPr>
          <w:szCs w:val="24"/>
        </w:rPr>
      </w:pPr>
      <w:r w:rsidRPr="00644D8F">
        <w:rPr>
          <w:szCs w:val="24"/>
        </w:rPr>
        <w:t xml:space="preserve">Furthermore, Turkey's deep cultural ties with the Central Asian republics (Kazakhstan, Kyrgyzstan, Turkmenistan, and Uzbekistan), coupled with these states' increasing desire to reduce their economic dependence on Russia and China, pose a challenge to Russian foreign policy in yet another area where Moscow has historically sought hegemony (Eldem 2022). From a geo-economic standpoint, these concerns may manifest through competing infrastructure and transport projects. For instance, Turkey's Trans-Caspian "Middle Corridor" initiative, which connects Europe to China via Turkey, Georgia, Azerbaijan, the Caspian Sea, and the Central Asian republics mentioned above, has gained renewed significance following Russia's invasion of Ukraine (Eldem 2022). Growing interest in this corridor could undermine the viability of Russia’s International North-South Transport Corridor (INSTC), which links Russia to Iran and India through Azerbaijan. </w:t>
      </w:r>
    </w:p>
    <w:p w14:paraId="11FB256D" w14:textId="50CE1172" w:rsidR="00644D8F" w:rsidRDefault="00644D8F" w:rsidP="004F4D91">
      <w:pPr>
        <w:pStyle w:val="Paragrafoelenco"/>
        <w:spacing w:before="176"/>
        <w:ind w:left="283" w:right="420" w:firstLine="360"/>
        <w:rPr>
          <w:szCs w:val="24"/>
        </w:rPr>
      </w:pPr>
      <w:r w:rsidRPr="00644D8F">
        <w:rPr>
          <w:szCs w:val="24"/>
        </w:rPr>
        <w:t xml:space="preserve">Thus, the events of 2023 have significantly altered the foundations of Moscow's strategy in the region. In re-evaluating the Kremlin’s security practices, I contend that its disengagement from the Nagorno-Karabakh conflict further highlights the limitations of interest-based explanations, both before and after these developments. To offer a more nuanced contribution to the literature on Russia’s role in the Nagorno-Karabakh conflict and, more broadly, in the South Caucasus, this study deliberately moves away from an outcome-oriented approach. </w:t>
      </w:r>
    </w:p>
    <w:p w14:paraId="69D18149" w14:textId="03259BD7" w:rsidR="00644D8F" w:rsidRPr="004F0AE8" w:rsidRDefault="004F0AE8" w:rsidP="00C33B50">
      <w:pPr>
        <w:pStyle w:val="Titolo2"/>
        <w:ind w:firstLine="283"/>
      </w:pPr>
      <w:bookmarkStart w:id="41" w:name="_Toc215742655"/>
      <w:r>
        <w:t>3</w:t>
      </w:r>
      <w:r w:rsidRPr="00B32F43">
        <w:t>.</w:t>
      </w:r>
      <w:r>
        <w:t xml:space="preserve">3. </w:t>
      </w:r>
      <w:r w:rsidRPr="00B32F43">
        <w:t>The</w:t>
      </w:r>
      <w:r>
        <w:t xml:space="preserve"> </w:t>
      </w:r>
      <w:r w:rsidR="00D729CA">
        <w:t>C</w:t>
      </w:r>
      <w:r>
        <w:t xml:space="preserve">onstructivist </w:t>
      </w:r>
      <w:r w:rsidR="00D729CA">
        <w:t>T</w:t>
      </w:r>
      <w:r>
        <w:t xml:space="preserve">urn in Russian </w:t>
      </w:r>
      <w:r w:rsidR="00D729CA">
        <w:t>F</w:t>
      </w:r>
      <w:r>
        <w:t xml:space="preserve">oreign </w:t>
      </w:r>
      <w:r w:rsidR="00D729CA">
        <w:t>P</w:t>
      </w:r>
      <w:r>
        <w:t>olicy</w:t>
      </w:r>
      <w:bookmarkEnd w:id="41"/>
    </w:p>
    <w:p w14:paraId="7D53709F" w14:textId="0CA6BCB2" w:rsidR="00644D8F" w:rsidRPr="00845E72" w:rsidRDefault="00644D8F" w:rsidP="004F4D91">
      <w:pPr>
        <w:pStyle w:val="Paragrafoelenco"/>
        <w:spacing w:before="176"/>
        <w:ind w:left="283" w:right="420" w:firstLine="360"/>
        <w:rPr>
          <w:szCs w:val="24"/>
        </w:rPr>
      </w:pPr>
      <w:r w:rsidRPr="00644D8F">
        <w:rPr>
          <w:szCs w:val="24"/>
        </w:rPr>
        <w:t xml:space="preserve">Scholars typically explain Russian interventions in the post-Soviet space through three mainstream analytical perspectives, each associated with a distinct group of authors. A first cluster emphasizes domestic-political drivers, arguing that Moscow’s assertiveness stems from regime-security concerns, whether through diversionary tactics designed to generate rally-around-the-flag effects (Diamond, Plattner &amp; Walker 2016; Mandelbaum 2019) or efforts to prevent the spread of democratic models that could destabilize Russia’s own authoritarian order (Kagan 2018; Person &amp; McFaul 2022). A second group advances geopolitical explanations, viewing Russia’s interventions as the predictable behavior of a great power seeking strategic depth, regional primacy, and insulation from Western encroachment (Mearsheimer 2014; Charap &amp; Colton 2017). Finally, a third set of interpretations highlights ideational influences, focusing either on civilizational or imperial identity narratives that structure what Russian elites see as possible or legitimate or on status ambitions that tie great-power identity to the maintenance of a regional sphere of influence </w:t>
      </w:r>
      <w:r w:rsidR="00AE6265" w:rsidRPr="00AE6265">
        <w:rPr>
          <w:szCs w:val="24"/>
        </w:rPr>
        <w:t>(Adomeit 1995; Hopf 2002; Mankoff 2009; Zarakol 2011; Cooley 2012; Tsygankov 2014a; Hopf 2015; Neumann 2015; Grigas 2016; Larson &amp; Shevchenko 2019; Sakwa 2020; Curanović 2021; Narozhna 2021; Kanet &amp; Moulioukova 2022)</w:t>
      </w:r>
      <w:r w:rsidR="00AE6265">
        <w:rPr>
          <w:szCs w:val="24"/>
        </w:rPr>
        <w:t>.</w:t>
      </w:r>
    </w:p>
    <w:p w14:paraId="051489F6" w14:textId="77777777" w:rsidR="00644D8F" w:rsidRPr="00644D8F" w:rsidRDefault="00644D8F" w:rsidP="004F4D91">
      <w:pPr>
        <w:pStyle w:val="Paragrafoelenco"/>
        <w:spacing w:before="176"/>
        <w:ind w:left="283" w:right="420" w:firstLine="360"/>
        <w:rPr>
          <w:szCs w:val="24"/>
        </w:rPr>
      </w:pPr>
      <w:r w:rsidRPr="00644D8F">
        <w:rPr>
          <w:szCs w:val="24"/>
        </w:rPr>
        <w:t xml:space="preserve">In line with this final cluster, I examine the traits of Russian foreign policy that the existing literature has often interpreted as expressions of ontological insecurity. As the following section of the chapter will show, the collapse of the Soviet Union re-energized a set of intertwined narratives rooted in deeper forms of ontological insecurity. These narratives have been shaped by formative episodes in Russian history, including the Mongol conquest, Peter the Great’s efforts at westernization, the 1917 Revolution, Stalinist terror, and Gorbachev’s final years in power. They continue to resonate, not least because memory practices play a central role in Russian political life. Together, these narratives form a foundation for identifying the key sources of anxiety and the gaps this study aims to address. At their core, these narratives center on themes of biographical (dis)continuity, the existential threat of disintegration, self-perceived great power status and matters of moral subjectivity. </w:t>
      </w:r>
    </w:p>
    <w:p w14:paraId="456141B0" w14:textId="04AB6A8F" w:rsidR="00644D8F" w:rsidRPr="00845E72" w:rsidRDefault="00845E72" w:rsidP="00C33B50">
      <w:pPr>
        <w:pStyle w:val="Titolo3"/>
        <w:ind w:firstLine="283"/>
      </w:pPr>
      <w:bookmarkStart w:id="42" w:name="_Toc215742656"/>
      <w:r>
        <w:t>3</w:t>
      </w:r>
      <w:r w:rsidRPr="00B32F43">
        <w:t>.</w:t>
      </w:r>
      <w:r>
        <w:t>1.4</w:t>
      </w:r>
      <w:r w:rsidRPr="00B32F43">
        <w:t xml:space="preserve">.  </w:t>
      </w:r>
      <w:r>
        <w:t>Biographical (dis)</w:t>
      </w:r>
      <w:r w:rsidR="00D729CA">
        <w:t>C</w:t>
      </w:r>
      <w:r>
        <w:t>ontinuity</w:t>
      </w:r>
      <w:bookmarkEnd w:id="42"/>
    </w:p>
    <w:p w14:paraId="0E481857" w14:textId="4EE1F7BA" w:rsidR="00644D8F" w:rsidRPr="00845E72" w:rsidRDefault="00644D8F" w:rsidP="004F4D91">
      <w:pPr>
        <w:pStyle w:val="Paragrafoelenco"/>
        <w:spacing w:before="176"/>
        <w:ind w:left="283" w:right="420" w:firstLine="360"/>
        <w:rPr>
          <w:szCs w:val="24"/>
        </w:rPr>
      </w:pPr>
      <w:r w:rsidRPr="00644D8F">
        <w:rPr>
          <w:szCs w:val="24"/>
        </w:rPr>
        <w:t xml:space="preserve">As established by Laing and Giddens, the preservation of a coherent biographical narrative is essential for any social actor to attain ontological security. When this coherence is compromised or disturbed, agents may experience feelings of anxiety or shame. The literature defines such moments as critical situations. Although Russia's history offers a wealth of symbolic resources for the development of a new national identity, this legacy has consistently been entangled with ideological conflicts and, consequently, risked serving as a point of contention among different political factions during the collapse of the Soviet Union (Malinova 2017, 44).   </w:t>
      </w:r>
    </w:p>
    <w:p w14:paraId="2114B269" w14:textId="02651C1A" w:rsidR="00644D8F" w:rsidRPr="00845E72" w:rsidRDefault="00644D8F" w:rsidP="004F4D91">
      <w:pPr>
        <w:pStyle w:val="Paragrafoelenco"/>
        <w:spacing w:before="176"/>
        <w:ind w:left="283" w:right="420" w:firstLine="360"/>
        <w:rPr>
          <w:szCs w:val="24"/>
        </w:rPr>
      </w:pPr>
      <w:r w:rsidRPr="00644D8F">
        <w:rPr>
          <w:szCs w:val="24"/>
        </w:rPr>
        <w:t xml:space="preserve">This explains why, since the commencement of his first presidential term in 2000, Russian President Vladimir Putin has consistently endeavored to reinterpret the nation's Tsarist, Soviet, and post-Soviet histories as interconnected and mutually reinforcing components within a comprehensive, unified national narrative (Laruelle 2009, 155; Wijermars 2018, 7; Sakwa 2020, 3). This effort could be observed in various practices As Sakwa notes,  </w:t>
      </w:r>
    </w:p>
    <w:p w14:paraId="3E93984B" w14:textId="1BEF41B1" w:rsidR="00644D8F" w:rsidRPr="00845E72" w:rsidRDefault="00644D8F" w:rsidP="004F4D91">
      <w:pPr>
        <w:pStyle w:val="Paragrafoelenco"/>
        <w:spacing w:before="176"/>
        <w:ind w:left="283" w:right="420" w:firstLine="360"/>
        <w:jc w:val="center"/>
        <w:rPr>
          <w:sz w:val="20"/>
          <w:szCs w:val="20"/>
        </w:rPr>
      </w:pPr>
      <w:r w:rsidRPr="00845E72">
        <w:rPr>
          <w:sz w:val="20"/>
          <w:szCs w:val="20"/>
        </w:rPr>
        <w:t>“Early in his presidency Vladimir Putin pushed through legislation adopting the Tsarist double-headed eagle as the state emblem, the Soviet national anthem (with new words) as Russia’s official hymn and the ‘democratic’ tricolor (white, blue and red) as the national flag, intending thereby to reconcile three eras and with it three national myths – the imperial, the Soviet and the democratic” (Sakwa 2020, 3) .</w:t>
      </w:r>
    </w:p>
    <w:p w14:paraId="0532A93D" w14:textId="6180EC27" w:rsidR="00644D8F" w:rsidRPr="00845E72" w:rsidRDefault="00644D8F" w:rsidP="004F4D91">
      <w:pPr>
        <w:pStyle w:val="Paragrafoelenco"/>
        <w:spacing w:before="176"/>
        <w:ind w:left="283" w:right="420" w:firstLine="360"/>
        <w:rPr>
          <w:szCs w:val="24"/>
        </w:rPr>
      </w:pPr>
      <w:r w:rsidRPr="00644D8F">
        <w:rPr>
          <w:szCs w:val="24"/>
        </w:rPr>
        <w:t xml:space="preserve">However, such efforts have been even more apparent in Putin’s discourse during different periods of his presidency. In a speech before the Federal Assembly in December 2012, the Russian president stated:  </w:t>
      </w:r>
    </w:p>
    <w:p w14:paraId="44D47081" w14:textId="588EC2B5" w:rsidR="00644D8F" w:rsidRPr="00845E72" w:rsidRDefault="00644D8F" w:rsidP="004F4D91">
      <w:pPr>
        <w:pStyle w:val="Paragrafoelenco"/>
        <w:spacing w:before="176"/>
        <w:ind w:left="283" w:right="420" w:firstLine="360"/>
        <w:jc w:val="center"/>
        <w:rPr>
          <w:sz w:val="20"/>
          <w:szCs w:val="20"/>
        </w:rPr>
      </w:pPr>
      <w:r w:rsidRPr="00845E72">
        <w:rPr>
          <w:sz w:val="20"/>
          <w:szCs w:val="20"/>
        </w:rPr>
        <w:t>“In order to revive national consciousness, we need to link historical eras and get back to understanding the simple truth that Russia did not begin in 1917, or even in 1991, but rather, that we have a common, continuous history spanning over one thousand years, and we must rely on it to find inner strength and purpose in our national development” (President of Russia 2012).</w:t>
      </w:r>
    </w:p>
    <w:p w14:paraId="2E95AC26" w14:textId="6FE157D9" w:rsidR="00644D8F" w:rsidRPr="008C2BE0" w:rsidRDefault="00644D8F" w:rsidP="004F4D91">
      <w:pPr>
        <w:pStyle w:val="Paragrafoelenco"/>
        <w:spacing w:before="176"/>
        <w:ind w:left="283" w:right="420" w:firstLine="360"/>
        <w:rPr>
          <w:szCs w:val="24"/>
        </w:rPr>
      </w:pPr>
      <w:r w:rsidRPr="00644D8F">
        <w:rPr>
          <w:szCs w:val="24"/>
        </w:rPr>
        <w:t xml:space="preserve">Four years later, during his speech to Russian soldiers at the Heroes of the Fatherland Day (День Героев Отечества/Den’ Geroyev Otechestva) commemoration, he declared:  </w:t>
      </w:r>
    </w:p>
    <w:p w14:paraId="187A1CD3" w14:textId="2D001CBD" w:rsidR="00644D8F" w:rsidRPr="008C2BE0" w:rsidRDefault="00644D8F" w:rsidP="004F4D91">
      <w:pPr>
        <w:pStyle w:val="Paragrafoelenco"/>
        <w:spacing w:before="176"/>
        <w:ind w:left="283" w:right="420" w:firstLine="360"/>
        <w:jc w:val="center"/>
        <w:rPr>
          <w:sz w:val="20"/>
          <w:szCs w:val="20"/>
        </w:rPr>
      </w:pPr>
      <w:r w:rsidRPr="008C2BE0">
        <w:rPr>
          <w:sz w:val="20"/>
          <w:szCs w:val="20"/>
        </w:rPr>
        <w:t>“We have equal respect for the defenders of ancient Russia, the Russian Empire, the heroes of 1812, and the Great Patriotic War... We will not forget how our defenders fearlessly risk their lives to fulfill their military duty in Syria” (President of Russia 2016).</w:t>
      </w:r>
      <w:r w:rsidR="00617E9A">
        <w:rPr>
          <w:rStyle w:val="Rimandonotaapidipagina"/>
          <w:sz w:val="20"/>
          <w:szCs w:val="20"/>
        </w:rPr>
        <w:footnoteReference w:id="9"/>
      </w:r>
    </w:p>
    <w:p w14:paraId="1FB083AD" w14:textId="77777777" w:rsidR="00644D8F" w:rsidRPr="00644D8F" w:rsidRDefault="00644D8F" w:rsidP="004F4D91">
      <w:pPr>
        <w:pStyle w:val="Paragrafoelenco"/>
        <w:spacing w:before="176"/>
        <w:ind w:left="283" w:right="420" w:firstLine="360"/>
        <w:rPr>
          <w:szCs w:val="24"/>
        </w:rPr>
      </w:pPr>
      <w:r w:rsidRPr="00644D8F">
        <w:rPr>
          <w:szCs w:val="24"/>
        </w:rPr>
        <w:t xml:space="preserve">Over the last decade, Putin's endeavors to consolidate the nation's diverse and occasionally conflicting histories into a cohesive and continuous biographical narrative have predominantly centered on developments in Ukraine. On 18 March 2014, during Russia’s annexation of Crimea, the Russian president delivered a speech to both chambers of the Federal Assembly of the Russian Federation, highlighting the ongoing nature of Russia’s historical narrative and the pivotal significance of Ukraine within it.  </w:t>
      </w:r>
    </w:p>
    <w:p w14:paraId="4C6BA940" w14:textId="299EA137" w:rsidR="00644D8F" w:rsidRPr="004C29CE" w:rsidRDefault="00644D8F" w:rsidP="004F4D91">
      <w:pPr>
        <w:pStyle w:val="Paragrafoelenco"/>
        <w:spacing w:before="176"/>
        <w:ind w:left="283" w:right="420" w:firstLine="360"/>
        <w:jc w:val="center"/>
        <w:rPr>
          <w:sz w:val="20"/>
          <w:szCs w:val="20"/>
        </w:rPr>
      </w:pPr>
      <w:r w:rsidRPr="004C29CE">
        <w:rPr>
          <w:sz w:val="20"/>
          <w:szCs w:val="20"/>
        </w:rPr>
        <w:t>“Everything in Crimea speaks of our shared history and pride. This is the location of ancient Khersones, where Prince Vladimir was baptized. His spiritual feat of adopting Orthodoxy predetermined the overall basis of the culture, civilization and human values that unite the peoples of Russia, Ukraine, and Belarus. The graves of Russian soldiers whose bravery brought Crimea into the Russian empire are also in Crimea. This is also Sevastopol —a legendary city with an outstanding history, a fortress that serves as the birthplace of Russia’s Black Sea Fleet. Crimea is Balaklava and Kerch, Malakhov Kurgan and Sapun Ridge. Each one of these places is dear to our hearts, symbolizing Russian military glory and outstanding valor. Crimea is a unique blend of different peoples’ cultures and traditions. This makes it similar to Russia as a whole, where not a single ethnic group has been lost over the centuries.” (President of Russia 2014).</w:t>
      </w:r>
    </w:p>
    <w:p w14:paraId="595E4CA1" w14:textId="5084A43B" w:rsidR="00644D8F" w:rsidRPr="004C29CE" w:rsidRDefault="00644D8F" w:rsidP="004F4D91">
      <w:pPr>
        <w:pStyle w:val="Paragrafoelenco"/>
        <w:spacing w:before="176"/>
        <w:ind w:left="283" w:right="420" w:firstLine="360"/>
        <w:rPr>
          <w:szCs w:val="24"/>
        </w:rPr>
      </w:pPr>
      <w:r w:rsidRPr="00644D8F">
        <w:rPr>
          <w:szCs w:val="24"/>
        </w:rPr>
        <w:t xml:space="preserve">The importance of Ukraine within the Kremlin's historical narrative was reaffirmed by Putin seven years later, when his 5,000-word essay titled "On the Historical Unity of Russians and Ukrainians" was published on the Kremlin's website in July 2021. This document was released shortly after diplomatic tensions with Kyiv escalated, coinciding with a significant Russian deployment of troops and equipment near the Ukrainian border (Reuters 2021). </w:t>
      </w:r>
    </w:p>
    <w:p w14:paraId="765EB16B" w14:textId="0070D06D" w:rsidR="00644D8F" w:rsidRPr="004C29CE" w:rsidRDefault="00644D8F" w:rsidP="004F4D91">
      <w:pPr>
        <w:pStyle w:val="Paragrafoelenco"/>
        <w:spacing w:before="176"/>
        <w:ind w:left="283" w:right="420" w:firstLine="360"/>
        <w:rPr>
          <w:szCs w:val="24"/>
        </w:rPr>
      </w:pPr>
      <w:r w:rsidRPr="00644D8F">
        <w:rPr>
          <w:szCs w:val="24"/>
        </w:rPr>
        <w:t xml:space="preserve">Extending from the period of Kyivan Rus’, a fragmented federation of principalities that existed from the late 9th to the mid-13th century at the crossroads of Byzantium, Lithuania, and the Golden Horde, to the developments following the dissolution of the Soviet Union, the essay provides a highly selective and ideologically driven interpretation of over a thousand years of history. In its conclusion, the Russian president stated:  </w:t>
      </w:r>
    </w:p>
    <w:p w14:paraId="2CE39E0C" w14:textId="711A1160" w:rsidR="00644D8F" w:rsidRPr="004C29CE" w:rsidRDefault="00644D8F" w:rsidP="004F4D91">
      <w:pPr>
        <w:pStyle w:val="Paragrafoelenco"/>
        <w:spacing w:before="176"/>
        <w:ind w:left="283" w:right="420" w:firstLine="360"/>
        <w:jc w:val="center"/>
        <w:rPr>
          <w:sz w:val="20"/>
          <w:szCs w:val="20"/>
        </w:rPr>
      </w:pPr>
      <w:r w:rsidRPr="004C29CE">
        <w:rPr>
          <w:sz w:val="20"/>
          <w:szCs w:val="20"/>
        </w:rPr>
        <w:t>“I am confident that true sovereignty of Ukraine is possible only in partnership with Russia. Our spiritual, human and civilizational ties formed for centuries and have their origins in the same sources, they have been hardened by common trials, achievements and victories. Our kinship has been transmitted from generation to generation. It is in the hearts and the memory of people living in modern Russia and Ukraine, in the blood ties that unite millions of our families. Together we have always been and will be many times stronger and more successful. For we are one people” (President of Russia 2021).</w:t>
      </w:r>
    </w:p>
    <w:p w14:paraId="00194A94" w14:textId="27D4BCC2" w:rsidR="004C29CE" w:rsidRDefault="004C29CE" w:rsidP="004F4D91">
      <w:pPr>
        <w:pStyle w:val="Paragrafoelenco"/>
        <w:spacing w:before="176"/>
        <w:ind w:left="283" w:right="420" w:firstLine="360"/>
        <w:rPr>
          <w:szCs w:val="24"/>
        </w:rPr>
      </w:pPr>
      <w:r w:rsidRPr="14018526">
        <w:rPr>
          <w:szCs w:val="24"/>
        </w:rPr>
        <w:t>Thus, i</w:t>
      </w:r>
      <w:r w:rsidR="00644D8F" w:rsidRPr="14018526">
        <w:rPr>
          <w:szCs w:val="24"/>
        </w:rPr>
        <w:t>t can be thus argued that, by positioning Ukraine as a core part of the country's identity, the Russian president has transformed it into a symbol embodying the collective longing for wholeness, while also attempting to address tensions within his country’s autobiographical narrative.</w:t>
      </w:r>
    </w:p>
    <w:p w14:paraId="68D28E74" w14:textId="3CC44AC8" w:rsidR="02B36C6A" w:rsidRDefault="02B36C6A" w:rsidP="004F4D91">
      <w:pPr>
        <w:pStyle w:val="Paragrafoelenco"/>
        <w:spacing w:before="176"/>
        <w:ind w:left="283" w:right="420" w:firstLine="360"/>
        <w:rPr>
          <w:color w:val="000000" w:themeColor="text1"/>
          <w:szCs w:val="24"/>
        </w:rPr>
      </w:pPr>
      <w:r w:rsidRPr="14018526">
        <w:rPr>
          <w:color w:val="000000" w:themeColor="text1"/>
          <w:szCs w:val="24"/>
        </w:rPr>
        <w:t xml:space="preserve">The second narrative that warrants analysis in relation to Russia’s ontological security is the Soviet Union’s victory over Nazi Germany in World War II. This event, known in Russian discourse as the “Great Patriotic War” (Velikaya Otechestvennaya Voyna/Великая Отечественная Война), is commemorated every year on May 9 during the observance of “Victory Day” (Den’ Pobedy/День Победы). The latter has been defined by </w:t>
      </w:r>
      <w:r w:rsidR="04779E4A" w:rsidRPr="14018526">
        <w:rPr>
          <w:color w:val="000000" w:themeColor="text1"/>
          <w:szCs w:val="24"/>
        </w:rPr>
        <w:t>Putin as</w:t>
      </w:r>
      <w:r w:rsidRPr="14018526">
        <w:rPr>
          <w:color w:val="000000" w:themeColor="text1"/>
          <w:szCs w:val="24"/>
        </w:rPr>
        <w:t xml:space="preserve"> “a sacred symbol of loyalty to the Motherland, [and] which lives inside every one of us” (President of Russia 2013). </w:t>
      </w:r>
    </w:p>
    <w:p w14:paraId="0EA87ED9" w14:textId="74167AC5" w:rsidR="02B36C6A" w:rsidRDefault="02B36C6A" w:rsidP="004F4D91">
      <w:pPr>
        <w:pStyle w:val="Paragrafoelenco"/>
        <w:spacing w:before="176"/>
        <w:ind w:left="283" w:right="420" w:firstLine="360"/>
        <w:rPr>
          <w:szCs w:val="24"/>
        </w:rPr>
      </w:pPr>
      <w:r w:rsidRPr="14018526">
        <w:rPr>
          <w:color w:val="000000" w:themeColor="text1"/>
          <w:szCs w:val="24"/>
        </w:rPr>
        <w:t>The war between the Soviet Union and Nazi Germany from 1941 to 1945 was the most extensive military confrontation in global history, resulting in the deaths of approximately 27 million Soviet soldiers and civilians (Hoffmann 2021</w:t>
      </w:r>
      <w:r w:rsidR="33DA6F94" w:rsidRPr="14018526">
        <w:rPr>
          <w:color w:val="000000" w:themeColor="text1"/>
          <w:szCs w:val="24"/>
        </w:rPr>
        <w:t>,</w:t>
      </w:r>
      <w:r w:rsidRPr="14018526">
        <w:rPr>
          <w:color w:val="000000" w:themeColor="text1"/>
          <w:szCs w:val="24"/>
        </w:rPr>
        <w:t xml:space="preserve"> 1). Given this immense toll, the conflict's memory has occupied a prominent role post-Soviet Russian identity (Gudkov 2005; Hoffmann 2021). Although the Great Patriotic War had long been commemorated in Soviet times through history textbooks, parades, monuments, museums, literature, and films, it emerged as one most politically salient aspect of the collective past available to the Kremlin after the collapse of the Soviet Union. This was largely possible to its prior institutionalization, which had transformed it from a mere historical narrative into a site of memory in the sense articulated by Nora (1989), as well as its broadly accepted positive significance within Russian society (Malinova 201</w:t>
      </w:r>
      <w:r w:rsidR="34CA157B" w:rsidRPr="14018526">
        <w:rPr>
          <w:color w:val="000000" w:themeColor="text1"/>
          <w:szCs w:val="24"/>
        </w:rPr>
        <w:t>4</w:t>
      </w:r>
      <w:r w:rsidRPr="14018526">
        <w:rPr>
          <w:color w:val="000000" w:themeColor="text1"/>
          <w:szCs w:val="24"/>
        </w:rPr>
        <w:t xml:space="preserve">; Wijermars 2017). </w:t>
      </w:r>
    </w:p>
    <w:p w14:paraId="105A10E6" w14:textId="2F947366" w:rsidR="02B36C6A" w:rsidRDefault="02B36C6A" w:rsidP="004F4D91">
      <w:pPr>
        <w:pStyle w:val="Paragrafoelenco"/>
        <w:spacing w:before="176"/>
        <w:ind w:left="283" w:right="420" w:firstLine="360"/>
        <w:rPr>
          <w:szCs w:val="24"/>
        </w:rPr>
      </w:pPr>
      <w:r w:rsidRPr="14018526">
        <w:rPr>
          <w:color w:val="000000" w:themeColor="text1"/>
          <w:szCs w:val="24"/>
        </w:rPr>
        <w:t>Malinova (201</w:t>
      </w:r>
      <w:r w:rsidR="06681ACC" w:rsidRPr="14018526">
        <w:rPr>
          <w:color w:val="000000" w:themeColor="text1"/>
          <w:szCs w:val="24"/>
        </w:rPr>
        <w:t xml:space="preserve">4, </w:t>
      </w:r>
      <w:r w:rsidRPr="14018526">
        <w:rPr>
          <w:color w:val="000000" w:themeColor="text1"/>
          <w:szCs w:val="24"/>
        </w:rPr>
        <w:t xml:space="preserve">65) contends that although both Yeltsin and Putin drew on the victory over Nazi Germany to legitimize their regimes, they invoked the memory of the war in markedly different ways. Yeltsin sought to separate the heroism of the war effort from the repressive legacy of the Soviet regime, advancing a narrative of dual victimhood and resistance against both Nazi invasion and Soviet authoritarianism. Putin, by contrast, recast the war as part of an unbroken, triumphant Russian legacy, selectively embracing Soviet achievements while downplaying their more troubling dimensions. As Gudkov (2005) notes, this is precisely why any critical reassessment of the Soviet Union’s role in the Great Patriotic War remains a taboo for the Kremlin. </w:t>
      </w:r>
    </w:p>
    <w:p w14:paraId="4DF772D0" w14:textId="6D6CA164" w:rsidR="4BFCD9D6" w:rsidRDefault="4BFCD9D6" w:rsidP="004F4D91">
      <w:pPr>
        <w:pStyle w:val="Paragrafoelenco"/>
        <w:spacing w:before="176"/>
        <w:ind w:left="283" w:right="420" w:firstLine="360"/>
        <w:rPr>
          <w:szCs w:val="24"/>
        </w:rPr>
      </w:pPr>
      <w:r w:rsidRPr="14018526">
        <w:rPr>
          <w:color w:val="000000" w:themeColor="text1"/>
          <w:szCs w:val="24"/>
        </w:rPr>
        <w:t>T</w:t>
      </w:r>
      <w:r w:rsidR="02B36C6A" w:rsidRPr="14018526">
        <w:rPr>
          <w:color w:val="000000" w:themeColor="text1"/>
          <w:szCs w:val="24"/>
        </w:rPr>
        <w:t xml:space="preserve">he war in Russia is framed as patriotic (otechestvennaia/отечественная) rather than global (mirovaia/мировая) or common (obshchaia/общая). Both Soviet and Russian leaderships have consistently emphasized the exceptional role of Soviet troops in liberating Central and Eastern </w:t>
      </w:r>
      <w:r w:rsidR="0801A71B" w:rsidRPr="14018526">
        <w:rPr>
          <w:color w:val="000000" w:themeColor="text1"/>
          <w:szCs w:val="24"/>
        </w:rPr>
        <w:t>Europe while downplaying the contributions of the Western Allies (Tumarkin, 2003; Malinova 2014; Kucherenko</w:t>
      </w:r>
      <w:r w:rsidR="02B36C6A" w:rsidRPr="14018526">
        <w:rPr>
          <w:color w:val="000000" w:themeColor="text1"/>
          <w:szCs w:val="24"/>
        </w:rPr>
        <w:t xml:space="preserve"> 2021). Anyone familiar with Russian politics will likely </w:t>
      </w:r>
      <w:r w:rsidR="35CE5D8A" w:rsidRPr="14018526">
        <w:rPr>
          <w:color w:val="000000" w:themeColor="text1"/>
          <w:szCs w:val="24"/>
        </w:rPr>
        <w:t>recall Putin’s</w:t>
      </w:r>
      <w:r w:rsidR="02B36C6A" w:rsidRPr="14018526">
        <w:rPr>
          <w:color w:val="000000" w:themeColor="text1"/>
          <w:szCs w:val="24"/>
        </w:rPr>
        <w:t xml:space="preserve"> speech at the 18th annual meeting of the Valdai International Discussion Club in October 2021, which quickly drew widespread attention across social media and news outlets.</w:t>
      </w:r>
    </w:p>
    <w:p w14:paraId="39DE2DF4" w14:textId="3482797C" w:rsidR="0C55D682" w:rsidRDefault="0C55D682" w:rsidP="004F4D91">
      <w:pPr>
        <w:spacing w:before="176"/>
        <w:ind w:left="283" w:right="420" w:firstLine="720"/>
        <w:jc w:val="center"/>
      </w:pPr>
      <w:r w:rsidRPr="14018526">
        <w:rPr>
          <w:color w:val="000000" w:themeColor="text1"/>
          <w:sz w:val="20"/>
          <w:szCs w:val="20"/>
        </w:rPr>
        <w:t>"Who was it that stormed Berlin? The Americans? The British or the French? It was the Red Army! Have you forgotten?” (President of Russia 2021).</w:t>
      </w:r>
    </w:p>
    <w:p w14:paraId="46032965" w14:textId="4BBD886A" w:rsidR="02B36C6A" w:rsidRDefault="02B36C6A" w:rsidP="004F4D91">
      <w:pPr>
        <w:pStyle w:val="Paragrafoelenco"/>
        <w:spacing w:before="176"/>
        <w:ind w:left="283" w:right="420" w:firstLine="360"/>
        <w:rPr>
          <w:szCs w:val="24"/>
        </w:rPr>
      </w:pPr>
      <w:r w:rsidRPr="14018526">
        <w:rPr>
          <w:color w:val="000000" w:themeColor="text1"/>
          <w:szCs w:val="24"/>
        </w:rPr>
        <w:t>References to the Second World War have become a central theme in Russian official rhetoric</w:t>
      </w:r>
      <w:r w:rsidR="17B06445" w:rsidRPr="14018526">
        <w:rPr>
          <w:color w:val="000000" w:themeColor="text1"/>
          <w:szCs w:val="24"/>
        </w:rPr>
        <w:t xml:space="preserve"> </w:t>
      </w:r>
      <w:r w:rsidRPr="14018526">
        <w:rPr>
          <w:color w:val="000000" w:themeColor="text1"/>
          <w:szCs w:val="24"/>
        </w:rPr>
        <w:t>regarding the 2014 annexation of Crimea and the full-scale invasion of Ukraine. In fact, since 2014, the Kremlin has revived historical narratives involving Ukrainian pogroms and the torture of Jews after Nazi forces occupied large parts of Ukraine in 1941, during which an estimated 4,000 people were reportedly killed by Ukrainian mobs collaborating with the Germans (Moulioukova and Kanet 2022</w:t>
      </w:r>
      <w:r w:rsidR="1E4DA43E" w:rsidRPr="14018526">
        <w:rPr>
          <w:color w:val="000000" w:themeColor="text1"/>
          <w:szCs w:val="24"/>
        </w:rPr>
        <w:t>,</w:t>
      </w:r>
      <w:r w:rsidRPr="14018526">
        <w:rPr>
          <w:color w:val="000000" w:themeColor="text1"/>
          <w:szCs w:val="24"/>
        </w:rPr>
        <w:t xml:space="preserve"> 126). This narrative gained additional traction amid the Maidan protests in Kyiv. While this event was dominated by EU and Ukraine’s blue-and-yellow flags, red-and-black flags associated with Ukrainian nationalists also appeared, sparking debate over the role of radical nationalism in the revolution. In this context, the Kremlin transformed the red-and-black flag seen on Maidan Square into a symbol of supposed ongoing Nazi affiliations among Ukrainian protesters, labeling the newly formed Ukrainian government as “neo-Nazis” and accusing it of committing genocide against Russians and other ethnic minorities in Ukraine (Kulyk 2014, 100).</w:t>
      </w:r>
    </w:p>
    <w:p w14:paraId="47F6B61C" w14:textId="7086EC8E" w:rsidR="02B36C6A" w:rsidRDefault="02B36C6A" w:rsidP="004F4D91">
      <w:pPr>
        <w:pStyle w:val="Paragrafoelenco"/>
        <w:spacing w:before="176"/>
        <w:ind w:left="283" w:right="420" w:firstLine="360"/>
        <w:rPr>
          <w:szCs w:val="24"/>
        </w:rPr>
      </w:pPr>
      <w:r w:rsidRPr="14018526">
        <w:rPr>
          <w:color w:val="000000" w:themeColor="text1"/>
          <w:szCs w:val="24"/>
        </w:rPr>
        <w:t>In his March 2014 address to the Russian Parliament, Vladimir Putin framed the events in Ukraine as a coup against the legitimately elected president, orchestrated by "nationalists, neo-Nazis, Russophobes, and anti-Semites." He also noted that:</w:t>
      </w:r>
    </w:p>
    <w:p w14:paraId="3AEFF728" w14:textId="083DF7FF" w:rsidR="14018526" w:rsidRPr="00D15BE1" w:rsidRDefault="0EBB4570" w:rsidP="00D15BE1">
      <w:pPr>
        <w:pStyle w:val="Paragrafoelenco"/>
        <w:spacing w:before="176"/>
        <w:ind w:left="283" w:right="420" w:firstLine="360"/>
        <w:jc w:val="center"/>
        <w:rPr>
          <w:szCs w:val="24"/>
        </w:rPr>
      </w:pPr>
      <w:r w:rsidRPr="14018526">
        <w:rPr>
          <w:color w:val="000000" w:themeColor="text1"/>
          <w:sz w:val="20"/>
          <w:szCs w:val="20"/>
        </w:rPr>
        <w:t>“The situation in Ukraine has turned out in such a way that we are forced to begin work on returning Crimea to Russia. Because we cannot leave this territory and people there adrift, under the steamroller of nationalists” (President of Russia 2014).</w:t>
      </w:r>
    </w:p>
    <w:p w14:paraId="7B3B563B" w14:textId="771464A0" w:rsidR="02B36C6A" w:rsidRDefault="02B36C6A" w:rsidP="004F4D91">
      <w:pPr>
        <w:pStyle w:val="Paragrafoelenco"/>
        <w:spacing w:before="176"/>
        <w:ind w:left="283" w:right="420" w:firstLine="360"/>
        <w:rPr>
          <w:szCs w:val="24"/>
        </w:rPr>
      </w:pPr>
      <w:r w:rsidRPr="14018526">
        <w:rPr>
          <w:color w:val="000000" w:themeColor="text1"/>
          <w:szCs w:val="24"/>
        </w:rPr>
        <w:t>Similarly, during his (in)famous speech that launched the full-scale invasion of Ukraine</w:t>
      </w:r>
      <w:r w:rsidR="54627E4C" w:rsidRPr="14018526">
        <w:rPr>
          <w:color w:val="000000" w:themeColor="text1"/>
          <w:szCs w:val="24"/>
        </w:rPr>
        <w:t xml:space="preserve"> —referred to by the Russian government as a special military operation (Spetsial'naya voennaya operatsiya/Специальная военная операция)—he declared that its purpose was "to denazify Ukraine."</w:t>
      </w:r>
    </w:p>
    <w:p w14:paraId="5333B66C" w14:textId="0DD05F2A" w:rsidR="02B36C6A" w:rsidRDefault="02B36C6A" w:rsidP="004F4D91">
      <w:pPr>
        <w:pStyle w:val="Paragrafoelenco"/>
        <w:spacing w:before="176"/>
        <w:ind w:left="283" w:right="420" w:firstLine="360"/>
        <w:rPr>
          <w:szCs w:val="24"/>
        </w:rPr>
      </w:pPr>
      <w:r w:rsidRPr="14018526">
        <w:rPr>
          <w:color w:val="000000" w:themeColor="text1"/>
          <w:szCs w:val="24"/>
        </w:rPr>
        <w:t xml:space="preserve">Just as the narrative of Kyivan Rus' is employed to reinforce Ukraine's place within Russia's historical Self, the Soviet Union's fight against Nazism has become a foundational memory that the Kremlin strives to maintain through assertive policies (Edenborg 2017; Ryan 2023). </w:t>
      </w:r>
      <w:r w:rsidR="00944638" w:rsidRPr="14018526">
        <w:rPr>
          <w:color w:val="000000" w:themeColor="text1"/>
          <w:szCs w:val="24"/>
        </w:rPr>
        <w:t xml:space="preserve">Russia's utilization of the Great Patriotic War as an instrument in its foreign policy has faced growing opposition from rival counter-narratives, </w:t>
      </w:r>
      <w:r w:rsidRPr="14018526">
        <w:rPr>
          <w:color w:val="000000" w:themeColor="text1"/>
          <w:szCs w:val="24"/>
        </w:rPr>
        <w:t>particularly those advanced by the Baltic states, Poland, and Ukraine (Malinova 201</w:t>
      </w:r>
      <w:r w:rsidR="2C5E3F5C" w:rsidRPr="14018526">
        <w:rPr>
          <w:color w:val="000000" w:themeColor="text1"/>
          <w:szCs w:val="24"/>
        </w:rPr>
        <w:t>4,</w:t>
      </w:r>
      <w:r w:rsidRPr="14018526">
        <w:rPr>
          <w:color w:val="000000" w:themeColor="text1"/>
          <w:szCs w:val="24"/>
        </w:rPr>
        <w:t xml:space="preserve"> 46; Belavusau</w:t>
      </w:r>
      <w:r w:rsidR="1618258F" w:rsidRPr="14018526">
        <w:rPr>
          <w:color w:val="000000" w:themeColor="text1"/>
          <w:szCs w:val="24"/>
        </w:rPr>
        <w:t xml:space="preserve"> et al. </w:t>
      </w:r>
      <w:r w:rsidRPr="14018526">
        <w:rPr>
          <w:color w:val="000000" w:themeColor="text1"/>
          <w:szCs w:val="24"/>
        </w:rPr>
        <w:t>2022</w:t>
      </w:r>
      <w:r w:rsidR="58C4B30D" w:rsidRPr="14018526">
        <w:rPr>
          <w:color w:val="000000" w:themeColor="text1"/>
          <w:szCs w:val="24"/>
        </w:rPr>
        <w:t>,</w:t>
      </w:r>
      <w:r w:rsidRPr="14018526">
        <w:rPr>
          <w:color w:val="000000" w:themeColor="text1"/>
          <w:szCs w:val="24"/>
        </w:rPr>
        <w:t xml:space="preserve"> 100). While post-Soviet Russian narratives highlight Soviet military heroism during 1941–45, these countries have focused on earlier or more contentious events—such as the 1939 Molotov–Ribbentrop Pact and, the repression of groups labeled as "disloyal" by Stalin in Soviet-liberated territories, including Poles (1939–1941 and 1944–1945), Estonians, Latvians, and Lithuanians (1941 and 1945–1949), and Crimean Tatars (1944), has also been a point of contention (Rudling 2021</w:t>
      </w:r>
      <w:r w:rsidR="7C6FBB9D" w:rsidRPr="14018526">
        <w:rPr>
          <w:color w:val="000000" w:themeColor="text1"/>
          <w:szCs w:val="24"/>
        </w:rPr>
        <w:t>,</w:t>
      </w:r>
      <w:r w:rsidRPr="14018526">
        <w:rPr>
          <w:color w:val="000000" w:themeColor="text1"/>
          <w:szCs w:val="24"/>
        </w:rPr>
        <w:t xml:space="preserve"> 79). Therefore, all these elements have the potential to undermine Russia’s sense of ontological security, with assertiveness serving the Kremlin as a means of preserving the coherence of its narratives in its own view.</w:t>
      </w:r>
    </w:p>
    <w:p w14:paraId="7342DE4A" w14:textId="4D6DE5C3" w:rsidR="00644D8F" w:rsidRPr="004C29CE" w:rsidRDefault="004C29CE" w:rsidP="00C33B50">
      <w:pPr>
        <w:pStyle w:val="Titolo3"/>
        <w:ind w:firstLine="283"/>
      </w:pPr>
      <w:bookmarkStart w:id="43" w:name="_Toc215742657"/>
      <w:r>
        <w:t>3</w:t>
      </w:r>
      <w:r w:rsidRPr="00B32F43">
        <w:t>.</w:t>
      </w:r>
      <w:r>
        <w:t>3.2</w:t>
      </w:r>
      <w:r w:rsidRPr="00B32F43">
        <w:t xml:space="preserve">.  </w:t>
      </w:r>
      <w:r>
        <w:t xml:space="preserve">The </w:t>
      </w:r>
      <w:r w:rsidR="00D729CA">
        <w:t>T</w:t>
      </w:r>
      <w:r>
        <w:t xml:space="preserve">hreat of </w:t>
      </w:r>
      <w:r w:rsidR="00D729CA">
        <w:t>D</w:t>
      </w:r>
      <w:r>
        <w:t>isintegration</w:t>
      </w:r>
      <w:bookmarkEnd w:id="43"/>
      <w:r>
        <w:t xml:space="preserve"> </w:t>
      </w:r>
    </w:p>
    <w:p w14:paraId="03A11DC3" w14:textId="39F80EEE" w:rsidR="00644D8F" w:rsidRPr="004C29CE" w:rsidRDefault="00644D8F" w:rsidP="004F4D91">
      <w:pPr>
        <w:pStyle w:val="Paragrafoelenco"/>
        <w:spacing w:before="176"/>
        <w:ind w:left="283" w:right="420" w:firstLine="360"/>
        <w:rPr>
          <w:szCs w:val="24"/>
        </w:rPr>
      </w:pPr>
      <w:r w:rsidRPr="00644D8F">
        <w:rPr>
          <w:szCs w:val="24"/>
        </w:rPr>
        <w:t xml:space="preserve">Throughout the centuries, Russia experienced nine significant invasions, including assaults by Sweden, Poland, and France. The most catastrophic event occurred in 1941 when Nazi Germany initiated an invasion of the Soviet Union (Sakwa 2020, 24). More recently, in August 2024, amidst the ongoing Russo-Ukrainian War, the Ukrainian armed forces initiated an offensive into Russia’s Kursk region and maintained control over portions of Russian territory for nearly a year. These events have instigated within the Russian consciousness what Tsygankov (2014a, 6) describes as a "psychological complex of insecurity." Yevgeny Primakov, then Foreign Minister and later Prime Minister, argued that NATO’s expansion was “not a military problem, but a psychological one” (Tsygankov 2014a, 108).  </w:t>
      </w:r>
    </w:p>
    <w:p w14:paraId="22F0C2D5" w14:textId="38DD1492" w:rsidR="00644D8F" w:rsidRPr="004C29CE" w:rsidRDefault="00644D8F" w:rsidP="004F4D91">
      <w:pPr>
        <w:pStyle w:val="Paragrafoelenco"/>
        <w:spacing w:before="176"/>
        <w:ind w:left="283" w:right="420" w:firstLine="360"/>
        <w:rPr>
          <w:szCs w:val="24"/>
        </w:rPr>
      </w:pPr>
      <w:r w:rsidRPr="00644D8F">
        <w:rPr>
          <w:szCs w:val="24"/>
        </w:rPr>
        <w:t xml:space="preserve">Throughout his presidency, Putin has consistently referenced the prospect of societal fragmentation in his public addresses. For example, in May 2003, during his annual address to the Federal Assembly, he declared:  </w:t>
      </w:r>
    </w:p>
    <w:p w14:paraId="05FF7C66" w14:textId="101450D1" w:rsidR="00644D8F" w:rsidRPr="004C29CE" w:rsidRDefault="00644D8F" w:rsidP="004F4D91">
      <w:pPr>
        <w:pStyle w:val="Paragrafoelenco"/>
        <w:spacing w:before="176"/>
        <w:ind w:left="283" w:right="420" w:firstLine="360"/>
        <w:rPr>
          <w:sz w:val="20"/>
          <w:szCs w:val="20"/>
        </w:rPr>
      </w:pPr>
      <w:r w:rsidRPr="004C29CE">
        <w:rPr>
          <w:sz w:val="20"/>
          <w:szCs w:val="20"/>
        </w:rPr>
        <w:t xml:space="preserve">“A country like Russia can live and develop within its current borders only if it is a strong power. In all periods of the country’s weakening—whether political or economic—the threat of disintegration has always and inevitably arisen before Russia” (President of Russia 2003).  </w:t>
      </w:r>
    </w:p>
    <w:p w14:paraId="7395FE0D" w14:textId="14408590" w:rsidR="00644D8F" w:rsidRPr="00D15BE1" w:rsidRDefault="00644D8F" w:rsidP="00D15BE1">
      <w:pPr>
        <w:pStyle w:val="Paragrafoelenco"/>
        <w:spacing w:before="176"/>
        <w:ind w:left="283" w:right="420" w:firstLine="360"/>
        <w:rPr>
          <w:szCs w:val="24"/>
        </w:rPr>
      </w:pPr>
      <w:r w:rsidRPr="00644D8F">
        <w:rPr>
          <w:szCs w:val="24"/>
        </w:rPr>
        <w:t xml:space="preserve">Amid worsening relations with the West and the events unfolding in Ukraine, Putin has repeatedly emphasized that Russia’s rivals have consistently sought its disintegration. For example, during a working trip to the Republic of Buryatia in March 2023, he stated:  </w:t>
      </w:r>
    </w:p>
    <w:p w14:paraId="23B871BF" w14:textId="2B0D443C" w:rsidR="00644D8F" w:rsidRPr="004C29CE" w:rsidRDefault="00644D8F" w:rsidP="004F4D91">
      <w:pPr>
        <w:pStyle w:val="Paragrafoelenco"/>
        <w:spacing w:before="176"/>
        <w:ind w:left="283" w:right="420" w:firstLine="360"/>
        <w:jc w:val="center"/>
        <w:rPr>
          <w:sz w:val="20"/>
          <w:szCs w:val="20"/>
        </w:rPr>
      </w:pPr>
      <w:r w:rsidRPr="004C29CE">
        <w:rPr>
          <w:sz w:val="20"/>
          <w:szCs w:val="20"/>
        </w:rPr>
        <w:t>For us this [the war in Ukraine] is not a fight to achieve some geopolitical status. For us, it is about a fight for the survival of Russian statehood, because our adversary, or, as I referred to them previously, our partners, have one goal—and we know this from previous decades—which is to destabilize us and pull our country apart. That is the point. So, for us, this is not a geopolitical goal but a matter of survival of Russian statehood and the creation of proper conditions for further development of our country and our children. This is what is at stake for us (Putin 2023).</w:t>
      </w:r>
    </w:p>
    <w:p w14:paraId="22388BD9" w14:textId="4C956F36" w:rsidR="00644D8F" w:rsidRPr="004C29CE" w:rsidRDefault="00644D8F" w:rsidP="004F4D91">
      <w:pPr>
        <w:pStyle w:val="Paragrafoelenco"/>
        <w:spacing w:before="176"/>
        <w:ind w:left="283" w:right="420" w:firstLine="360"/>
        <w:rPr>
          <w:szCs w:val="24"/>
        </w:rPr>
      </w:pPr>
      <w:r w:rsidRPr="00644D8F">
        <w:rPr>
          <w:szCs w:val="24"/>
        </w:rPr>
        <w:t xml:space="preserve">In highlighting the threat of disintegration, Putin has frequently utilized the terms "smuta" (смутa) or "smutnye vremena" (смутные времена). These two words are frequently rendered as "times of trobules." Historically, смута refers to a turbulent period of political upheaval during the foreign occupations by Polish and Lithuanian forces between 1598 and 1612/13 (Coalson 2007; Petersson 2013; Sakwa 2020). Nonetheless, Putin has frequently likened this historical moment to the tumultuous aftermath of the Soviet Union's dissolution (Mjør 2018, 19). Other episodes of smuta that have been frequently referenced by Putin include the fall of Kievan Rus’, as well as the period following the Mongol invasion and the Bolshevik Revolution.   </w:t>
      </w:r>
    </w:p>
    <w:p w14:paraId="0352DDF2" w14:textId="55D4CCEF" w:rsidR="00644D8F" w:rsidRPr="004C29CE" w:rsidRDefault="00644D8F" w:rsidP="004F4D91">
      <w:pPr>
        <w:pStyle w:val="Paragrafoelenco"/>
        <w:spacing w:before="176"/>
        <w:ind w:left="283" w:right="420" w:firstLine="360"/>
        <w:rPr>
          <w:szCs w:val="24"/>
        </w:rPr>
      </w:pPr>
      <w:r w:rsidRPr="00644D8F">
        <w:rPr>
          <w:szCs w:val="24"/>
        </w:rPr>
        <w:t xml:space="preserve">Another </w:t>
      </w:r>
      <w:r w:rsidR="004C29CE">
        <w:rPr>
          <w:szCs w:val="24"/>
        </w:rPr>
        <w:t>event</w:t>
      </w:r>
      <w:r w:rsidRPr="00644D8F">
        <w:rPr>
          <w:szCs w:val="24"/>
        </w:rPr>
        <w:t xml:space="preserve"> recently described as smuta by Putin was the attempted military uprising orchestrated by Yevgeny Prigozhin in June 2023, the head of the private military company (PMC) "Wagner." In a televised speech to the citizens of Russia, Putin announced:  </w:t>
      </w:r>
    </w:p>
    <w:p w14:paraId="69C5B0A9" w14:textId="144A6C0B" w:rsidR="00644D8F" w:rsidRPr="004C29CE" w:rsidRDefault="00644D8F" w:rsidP="004F4D91">
      <w:pPr>
        <w:pStyle w:val="Paragrafoelenco"/>
        <w:spacing w:before="176"/>
        <w:ind w:left="283" w:right="420" w:firstLine="360"/>
        <w:jc w:val="center"/>
        <w:rPr>
          <w:sz w:val="20"/>
          <w:szCs w:val="20"/>
        </w:rPr>
      </w:pPr>
      <w:r w:rsidRPr="004C29CE">
        <w:rPr>
          <w:sz w:val="20"/>
          <w:szCs w:val="20"/>
        </w:rPr>
        <w:t>Today, Russia is waging a tough struggle for its future, repelling the aggression of neo-Nazis and their patrons [reference to the war in Ukraine]. The entire military, economic and informational machine of the West is directed against us. We are fighting for the lives and security of our people, for our sovereignty and independence, for the right to be and remain Russia, a state with a thousand-year history... Therefore, any actions that split our nation are essentially a betrayal of our people, of our comrades-in-arms who are now fighting at the frontline. This is a knife in the back of our country and our people.  A blow like this was dealt to Russia in 1917, when the country was fighting in World War I. But the victory was stolen from it: intrigues, squabbles, and politicking behind the backs of the army and the nation turned into the greatest turmoil, the destruction of the army, the collapse of the state, and the loss of vast territories, ultimately leading to the tragedy of the civil war. Russians were killing Russians, and brothers were killing brothers, while all sorts of political adventurers and foreign forces profited from the situation by tearing the country apart to divide it. We will not allow this to happen again. We will protect our people and our statehood from any threats, including from internal betrayal... Once again, any internal revolt is a deadly threat to our statehood and our nation. It is a blow to Russia, to our people” (President of Russia 2024).</w:t>
      </w:r>
    </w:p>
    <w:p w14:paraId="73F41F82" w14:textId="64EB7A05" w:rsidR="00644D8F" w:rsidRPr="004C29CE" w:rsidRDefault="00644D8F" w:rsidP="004F4D91">
      <w:pPr>
        <w:pStyle w:val="Paragrafoelenco"/>
        <w:spacing w:before="176"/>
        <w:ind w:left="283" w:right="420" w:firstLine="360"/>
        <w:rPr>
          <w:szCs w:val="24"/>
        </w:rPr>
      </w:pPr>
      <w:r w:rsidRPr="00644D8F">
        <w:rPr>
          <w:szCs w:val="24"/>
        </w:rPr>
        <w:t xml:space="preserve">Putin presented the threat of disintegration in two distinct ways. The first was through the ongoing war that Russia is fighting in Ukraine. The second involved the use of the term смута, with the comparison between Prigozhin’s attempted coup and the events following the 1917 revolution. This discursive approach emphasizes how the Russian President characterizes disintegration as a dire and alarming prospect. In this manner, he is able to portray himself as a decisive leader and Russia as a resilient, cohesive nation, thereby galvanizing the sentiments of the population.  </w:t>
      </w:r>
    </w:p>
    <w:p w14:paraId="2A74250F" w14:textId="1FA1E803" w:rsidR="00644D8F" w:rsidRPr="004C29CE" w:rsidRDefault="00644D8F" w:rsidP="004F4D91">
      <w:pPr>
        <w:pStyle w:val="Paragrafoelenco"/>
        <w:spacing w:before="176"/>
        <w:ind w:left="283" w:right="420" w:firstLine="360"/>
        <w:rPr>
          <w:szCs w:val="24"/>
        </w:rPr>
      </w:pPr>
      <w:r w:rsidRPr="00644D8F">
        <w:rPr>
          <w:szCs w:val="24"/>
        </w:rPr>
        <w:t xml:space="preserve">The notion of a powerful, centralized "strong state" (сильное государство/sil'noye gosudarstvo) is deeply embedded in the autocratic tradition of Tsarist rule (самодержавие/ samoderzhaviye) and remains fundamental to Russia's sense of national identity and honor (Tsygankov 2014a, viii). The latter:  </w:t>
      </w:r>
    </w:p>
    <w:p w14:paraId="58AA3A25" w14:textId="7D2BA5A3" w:rsidR="00644D8F" w:rsidRPr="004C29CE" w:rsidRDefault="00644D8F" w:rsidP="004F4D91">
      <w:pPr>
        <w:pStyle w:val="Paragrafoelenco"/>
        <w:spacing w:before="176"/>
        <w:ind w:left="283" w:right="420" w:firstLine="360"/>
        <w:jc w:val="center"/>
        <w:rPr>
          <w:sz w:val="20"/>
          <w:szCs w:val="20"/>
        </w:rPr>
      </w:pPr>
      <w:r w:rsidRPr="004C29CE">
        <w:rPr>
          <w:sz w:val="20"/>
          <w:szCs w:val="20"/>
        </w:rPr>
        <w:t>“...has been established over the course of millennia. Rooted in Eastern Christianity, it came to include a distinctive concept of spiritual freedom and the ideal of a strong and socially protective state capable of defending its own subjects from abuses at home and threats from abroad” (Tsygankov 2014a, 28).</w:t>
      </w:r>
    </w:p>
    <w:p w14:paraId="3F3A746E" w14:textId="13088737" w:rsidR="00644D8F" w:rsidRPr="004C29CE" w:rsidRDefault="00644D8F" w:rsidP="004F4D91">
      <w:pPr>
        <w:pStyle w:val="Paragrafoelenco"/>
        <w:spacing w:before="176"/>
        <w:ind w:left="283" w:right="420" w:firstLine="360"/>
        <w:rPr>
          <w:szCs w:val="24"/>
        </w:rPr>
      </w:pPr>
      <w:r w:rsidRPr="7B68E945">
        <w:rPr>
          <w:szCs w:val="24"/>
        </w:rPr>
        <w:t xml:space="preserve"> During the Soviet period, the notion of strong state was transformed into a similarly powerful one-party system characterized by a strict monopoly on authority (</w:t>
      </w:r>
      <w:r w:rsidR="3798DA0C" w:rsidRPr="7B68E945">
        <w:rPr>
          <w:szCs w:val="24"/>
        </w:rPr>
        <w:t>Kanet &amp; Moulioukova</w:t>
      </w:r>
      <w:r w:rsidRPr="7B68E945">
        <w:rPr>
          <w:szCs w:val="24"/>
        </w:rPr>
        <w:t xml:space="preserve"> 2022</w:t>
      </w:r>
      <w:r w:rsidR="1F1E5ED5" w:rsidRPr="7B68E945">
        <w:rPr>
          <w:szCs w:val="24"/>
        </w:rPr>
        <w:t>,</w:t>
      </w:r>
      <w:r w:rsidRPr="7B68E945">
        <w:rPr>
          <w:szCs w:val="24"/>
        </w:rPr>
        <w:t xml:space="preserve"> 14). Ac According to Kotkin (2016), a strong and assertive state, capable and willing to pursue its own interests, has continued to serve as the primary guarantor of security for post-Soviet Russia. s Vladimir Putin himself wrote in 2000:  </w:t>
      </w:r>
    </w:p>
    <w:p w14:paraId="249C25F2" w14:textId="322277AD" w:rsidR="00644D8F" w:rsidRPr="004C29CE" w:rsidRDefault="00644D8F" w:rsidP="004F4D91">
      <w:pPr>
        <w:pStyle w:val="Paragrafoelenco"/>
        <w:spacing w:before="176"/>
        <w:ind w:left="283" w:right="420" w:firstLine="360"/>
        <w:jc w:val="center"/>
        <w:rPr>
          <w:sz w:val="20"/>
          <w:szCs w:val="20"/>
        </w:rPr>
      </w:pPr>
      <w:r w:rsidRPr="14018526">
        <w:rPr>
          <w:sz w:val="20"/>
          <w:szCs w:val="20"/>
        </w:rPr>
        <w:t>“For Russians a strong state is not an anomaly that should be gotten rid of. Quite the contrary, they see it as a source and guarantor of order and the initiator and main driving force of any change</w:t>
      </w:r>
      <w:r w:rsidR="53D08F0A" w:rsidRPr="14018526">
        <w:rPr>
          <w:sz w:val="20"/>
          <w:szCs w:val="20"/>
        </w:rPr>
        <w:t>”</w:t>
      </w:r>
      <w:r w:rsidRPr="14018526">
        <w:rPr>
          <w:sz w:val="20"/>
          <w:szCs w:val="20"/>
        </w:rPr>
        <w:t xml:space="preserve"> (Putin 2000).</w:t>
      </w:r>
    </w:p>
    <w:p w14:paraId="62B5C7C6" w14:textId="23FEB75E" w:rsidR="00644D8F" w:rsidRPr="004C29CE" w:rsidRDefault="00644D8F" w:rsidP="004F4D91">
      <w:pPr>
        <w:pStyle w:val="Paragrafoelenco"/>
        <w:spacing w:before="176"/>
        <w:ind w:left="283" w:right="420" w:firstLine="360"/>
        <w:rPr>
          <w:szCs w:val="24"/>
        </w:rPr>
      </w:pPr>
      <w:r w:rsidRPr="00644D8F">
        <w:rPr>
          <w:szCs w:val="24"/>
        </w:rPr>
        <w:t xml:space="preserve">Putin emphasized the importance of the strong state concept in a speech to the Federal Assembly in December 2015, when he mentioned the annexation of Crimea. On this occasion, he announced:  </w:t>
      </w:r>
    </w:p>
    <w:p w14:paraId="72BDD75C" w14:textId="7DCD6896" w:rsidR="00644D8F" w:rsidRPr="004C29CE" w:rsidRDefault="00644D8F" w:rsidP="004F4D91">
      <w:pPr>
        <w:pStyle w:val="Paragrafoelenco"/>
        <w:spacing w:before="176"/>
        <w:ind w:left="283" w:right="420" w:firstLine="360"/>
        <w:jc w:val="center"/>
        <w:rPr>
          <w:sz w:val="20"/>
          <w:szCs w:val="20"/>
        </w:rPr>
      </w:pPr>
      <w:r w:rsidRPr="004C29CE">
        <w:rPr>
          <w:sz w:val="20"/>
          <w:szCs w:val="20"/>
        </w:rPr>
        <w:t>“We crossed another milestone in 2014 when Crimea and Sevastopol were reunified with Russia. Russia declared a voce piena its status as a strong state with a millennium-long history and great traditions, as a nation consolidated by common values and common goals” (Putin 2015).</w:t>
      </w:r>
    </w:p>
    <w:p w14:paraId="4F9C891B" w14:textId="729FAD79" w:rsidR="00644D8F" w:rsidRPr="004C29CE" w:rsidRDefault="004C29CE" w:rsidP="00C33B50">
      <w:pPr>
        <w:pStyle w:val="Titolo3"/>
        <w:ind w:firstLine="283"/>
      </w:pPr>
      <w:bookmarkStart w:id="44" w:name="_Toc215742658"/>
      <w:r>
        <w:t>3</w:t>
      </w:r>
      <w:r w:rsidRPr="00B32F43">
        <w:t>.</w:t>
      </w:r>
      <w:r>
        <w:t>3.3</w:t>
      </w:r>
      <w:r w:rsidRPr="00B32F43">
        <w:t xml:space="preserve">.  </w:t>
      </w:r>
      <w:r>
        <w:t xml:space="preserve">Russia as an </w:t>
      </w:r>
      <w:r w:rsidR="00031E6D">
        <w:t>U</w:t>
      </w:r>
      <w:r>
        <w:t xml:space="preserve">nrecognized </w:t>
      </w:r>
      <w:r w:rsidR="00031E6D">
        <w:t>G</w:t>
      </w:r>
      <w:r>
        <w:t xml:space="preserve">reat </w:t>
      </w:r>
      <w:r w:rsidR="00031E6D">
        <w:t>P</w:t>
      </w:r>
      <w:r>
        <w:t>ower</w:t>
      </w:r>
      <w:bookmarkEnd w:id="44"/>
      <w:r>
        <w:t xml:space="preserve"> </w:t>
      </w:r>
    </w:p>
    <w:p w14:paraId="3F52F172" w14:textId="539BEB99" w:rsidR="00644D8F" w:rsidRPr="004C29CE" w:rsidRDefault="00644D8F" w:rsidP="004F4D91">
      <w:pPr>
        <w:pStyle w:val="Paragrafoelenco"/>
        <w:spacing w:before="176"/>
        <w:ind w:left="283" w:right="420" w:firstLine="360"/>
        <w:rPr>
          <w:szCs w:val="24"/>
        </w:rPr>
      </w:pPr>
      <w:r w:rsidRPr="7B68E945">
        <w:rPr>
          <w:szCs w:val="24"/>
        </w:rPr>
        <w:t xml:space="preserve">The Kremlin’s self-perception as a great power and its pursuit of equitable, horizontal relations with the West have been subjects of considerable scholarly attention. Numerous scholars, including Adomeit (1995), Hopf (2002), Mankoff (2009), Zarakol (2011), Tsygankov (2014a), Neumann (2015), Sakwa (2020), Curanović (2021), Narozhna (2021), </w:t>
      </w:r>
      <w:r w:rsidR="3798DA0C" w:rsidRPr="7B68E945">
        <w:rPr>
          <w:szCs w:val="24"/>
        </w:rPr>
        <w:t>Kanet &amp; Moulioukova</w:t>
      </w:r>
      <w:r w:rsidRPr="7B68E945">
        <w:rPr>
          <w:szCs w:val="24"/>
        </w:rPr>
        <w:t xml:space="preserve"> (2022), and many others, have explored these themes. As observed by Neumann:  </w:t>
      </w:r>
    </w:p>
    <w:p w14:paraId="2B3FE6FC" w14:textId="483761D6" w:rsidR="00644D8F" w:rsidRPr="004C29CE" w:rsidRDefault="00644D8F" w:rsidP="004F4D91">
      <w:pPr>
        <w:pStyle w:val="Paragrafoelenco"/>
        <w:spacing w:before="176"/>
        <w:ind w:left="283" w:right="420" w:firstLine="360"/>
        <w:jc w:val="center"/>
        <w:rPr>
          <w:sz w:val="20"/>
          <w:szCs w:val="20"/>
        </w:rPr>
      </w:pPr>
      <w:r w:rsidRPr="004C29CE">
        <w:rPr>
          <w:sz w:val="20"/>
          <w:szCs w:val="20"/>
        </w:rPr>
        <w:t>“Russia is stuck in a prison of its own making. The name of that prison is great power identity. Time and again since the fall of the Soviet Union, we have heard Russians state that Russia has to be a great power, or it will be nothing” (Neumann 2015, 5).</w:t>
      </w:r>
    </w:p>
    <w:p w14:paraId="36BE8093" w14:textId="747E6D5D" w:rsidR="00644D8F" w:rsidRPr="004C29CE" w:rsidRDefault="00644D8F" w:rsidP="004F4D91">
      <w:pPr>
        <w:pStyle w:val="Paragrafoelenco"/>
        <w:spacing w:before="176"/>
        <w:ind w:left="283" w:right="420" w:firstLine="360"/>
        <w:rPr>
          <w:szCs w:val="24"/>
        </w:rPr>
      </w:pPr>
      <w:r w:rsidRPr="00644D8F">
        <w:rPr>
          <w:szCs w:val="24"/>
        </w:rPr>
        <w:t xml:space="preserve">From its early interactions with the Holy Roman Empire to the increased engagement during and after Peter the Great's reign, and throughout the Soviet period, Russia sought equal recognition from Europe's leading powers and later from the United States (Neumann 2015, 128). As the country gradually adopted modernity within an increasingly hierarchical international order, Western recognition became critical to its self-identity. Curing a "rightful" place within the framework of contemporary European international society emerged as a top priority for Russian leaders (Narozhna 2021, 65). </w:t>
      </w:r>
    </w:p>
    <w:p w14:paraId="44E111B2" w14:textId="4DE530B3" w:rsidR="00644D8F" w:rsidRPr="004C29CE" w:rsidRDefault="00644D8F" w:rsidP="004F4D91">
      <w:pPr>
        <w:pStyle w:val="Paragrafoelenco"/>
        <w:spacing w:before="176"/>
        <w:ind w:left="283" w:right="420" w:firstLine="360"/>
        <w:rPr>
          <w:szCs w:val="24"/>
        </w:rPr>
      </w:pPr>
      <w:r w:rsidRPr="00644D8F">
        <w:rPr>
          <w:szCs w:val="24"/>
        </w:rPr>
        <w:t xml:space="preserve">According to Zarakol (2011, 10-12), Russia's status as a latecomer to the Western core of the international order resulted in it being frequently labeled as "backward" or "uncivilized," resulting in a long-standing stigma within the global hierarchy. This sense of stigma has long contributed to Russian elites' ontological insecurity (Zarakol 2011, 17). One notable example is Peter the Great's (1682-1725) Westernizing reforms, which sought to transform Russia from a traditional Orthodox tsardom to a more Europeanized state. Manifestations of Russia's perceived inferiority have resurfaced several times throughout history. A telling example comes from the Soviet leader Joseph Stalin (1922-1952), who once stated:  </w:t>
      </w:r>
    </w:p>
    <w:p w14:paraId="423EBD92" w14:textId="3F366ECC" w:rsidR="00644D8F" w:rsidRPr="004C29CE" w:rsidRDefault="00644D8F" w:rsidP="004F4D91">
      <w:pPr>
        <w:pStyle w:val="Paragrafoelenco"/>
        <w:spacing w:before="176"/>
        <w:ind w:left="283" w:right="420" w:firstLine="360"/>
        <w:jc w:val="center"/>
        <w:rPr>
          <w:sz w:val="20"/>
          <w:szCs w:val="20"/>
        </w:rPr>
      </w:pPr>
      <w:r w:rsidRPr="004C29CE">
        <w:rPr>
          <w:sz w:val="20"/>
          <w:szCs w:val="20"/>
        </w:rPr>
        <w:t>“The history of the old Russia was the continual beating she suffered because of her backwardness. She was beaten by the Mongol khans. She was beaten by the Turkish beys. She was beaten by the Swedish feudal lords. She was beaten by the Polish and Lithuanian gentry. She was beaten by the English and French capitalists. She was beaten by the Japanese barons. All beat her—for her backwardness… We are fifty or a hundred years behind the advanced countries. We must make good this distance in ten years. Either we do it, or we shall be crushed” (Stalin in Sakwa 2020, 187-188).</w:t>
      </w:r>
    </w:p>
    <w:p w14:paraId="77F9ABF9" w14:textId="07C85A59" w:rsidR="00644D8F" w:rsidRPr="004C29CE" w:rsidRDefault="00644D8F" w:rsidP="004F4D91">
      <w:pPr>
        <w:pStyle w:val="Paragrafoelenco"/>
        <w:spacing w:before="176"/>
        <w:ind w:left="283" w:right="420" w:firstLine="360"/>
        <w:rPr>
          <w:szCs w:val="24"/>
        </w:rPr>
      </w:pPr>
      <w:r w:rsidRPr="00644D8F">
        <w:rPr>
          <w:szCs w:val="24"/>
        </w:rPr>
        <w:t xml:space="preserve">In a 2010 interview, then-Russian president Dmitry Medvedev (2008-2012) declared:  </w:t>
      </w:r>
    </w:p>
    <w:p w14:paraId="0FAA771C" w14:textId="27395F7C" w:rsidR="00644D8F" w:rsidRPr="004C29CE" w:rsidRDefault="00644D8F" w:rsidP="004F4D91">
      <w:pPr>
        <w:pStyle w:val="Paragrafoelenco"/>
        <w:spacing w:before="176"/>
        <w:ind w:left="283" w:right="420" w:firstLine="360"/>
        <w:jc w:val="center"/>
        <w:rPr>
          <w:sz w:val="20"/>
          <w:szCs w:val="20"/>
        </w:rPr>
      </w:pPr>
      <w:r w:rsidRPr="004C29CE">
        <w:rPr>
          <w:sz w:val="20"/>
          <w:szCs w:val="20"/>
        </w:rPr>
        <w:t>“We believed that we would be welcomed, that we were all open, modern, no longer threatening anyone, and would quickly and easily integrate into the ranks of other civilized, developed countries. It turned out differently...the West was not fully ready to abandon stereotypes either” (President of Russia 2010).</w:t>
      </w:r>
    </w:p>
    <w:p w14:paraId="63C25D69" w14:textId="3A5ECD61" w:rsidR="00644D8F" w:rsidRPr="004C29CE" w:rsidRDefault="00644D8F" w:rsidP="004F4D91">
      <w:pPr>
        <w:pStyle w:val="Paragrafoelenco"/>
        <w:spacing w:before="176"/>
        <w:ind w:left="283" w:right="420" w:firstLine="360"/>
        <w:jc w:val="center"/>
        <w:rPr>
          <w:sz w:val="20"/>
          <w:szCs w:val="20"/>
        </w:rPr>
      </w:pPr>
      <w:r w:rsidRPr="00644D8F">
        <w:rPr>
          <w:szCs w:val="24"/>
        </w:rPr>
        <w:t>Frustration and anger over the West's misrecognition have dominated Putin's speeches in recent years. During the televised press conference and public dialogue titled "Results of the Year" (Itogi Goda/Итоги Года) on December 19, 2024, Putin commented on the alleged pro-</w:t>
      </w:r>
      <w:r w:rsidRPr="004C29CE">
        <w:rPr>
          <w:sz w:val="20"/>
          <w:szCs w:val="20"/>
        </w:rPr>
        <w:t>Western stance of the first president of the Russian Federation, Boris Yeltsin, stating:</w:t>
      </w:r>
    </w:p>
    <w:p w14:paraId="6D2F5F14" w14:textId="46CADBFA" w:rsidR="00644D8F" w:rsidRPr="004C29CE" w:rsidRDefault="00644D8F" w:rsidP="004F4D91">
      <w:pPr>
        <w:pStyle w:val="Paragrafoelenco"/>
        <w:spacing w:before="176"/>
        <w:ind w:left="283" w:right="420" w:firstLine="360"/>
        <w:jc w:val="center"/>
        <w:rPr>
          <w:sz w:val="20"/>
          <w:szCs w:val="20"/>
        </w:rPr>
      </w:pPr>
      <w:r w:rsidRPr="004C29CE">
        <w:rPr>
          <w:sz w:val="20"/>
          <w:szCs w:val="20"/>
        </w:rPr>
        <w:t>“Everything seemed fine; they patted him [Boris Yeltsin], and turned a blind eye when he drank. He was welcome in all Western circles. But as soon as he raised his voice in defence of Yugoslavia, as soon as he said that it violated international law and the UN Charter, as soon as he said that striking Belgrade, the capital of a European country, without UN Security Council approval was unacceptable in modern Europe, they immediately started having a go at him, calling him names, saying he was a drunk, and so on. Do you not remember that?” (Putin 2024)</w:t>
      </w:r>
      <w:r w:rsidR="004C29CE">
        <w:rPr>
          <w:sz w:val="20"/>
          <w:szCs w:val="20"/>
        </w:rPr>
        <w:t>.</w:t>
      </w:r>
    </w:p>
    <w:p w14:paraId="6453A4F5" w14:textId="5DA74980" w:rsidR="00644D8F" w:rsidRPr="004C29CE" w:rsidRDefault="00644D8F" w:rsidP="004F4D91">
      <w:pPr>
        <w:pStyle w:val="Paragrafoelenco"/>
        <w:spacing w:before="176"/>
        <w:ind w:left="283" w:right="420" w:firstLine="360"/>
        <w:rPr>
          <w:szCs w:val="24"/>
        </w:rPr>
      </w:pPr>
      <w:r w:rsidRPr="00644D8F">
        <w:rPr>
          <w:szCs w:val="24"/>
        </w:rPr>
        <w:t xml:space="preserve">Following the collapse of the Soviet Union, three major ideological camps emerged in Russian political discourse, each with their vision for the country's international direction (Jackson 2003, 40-45). Jackson (2003, 45) identifies three groups: liberal Westernizers (Zapadniki/Западники), pragmatic nationalists, and nationalist fundamentalists. While various factions debated the precise meaning of Russia's greatness, they all agreed on one thing: Russia was "doomed to be a great power" by virtue of its very identity, as Foreign Minister Andrey Kozyrev put it (1994, 62). The first Foreign Policy Concept of post-Soviet Russia echoed this sentiment, explicitly framing its objectives around gaining recognition for the Russian Federation as "a great power with a centuries-long history" (Russian Federation 2005, 27).  </w:t>
      </w:r>
    </w:p>
    <w:p w14:paraId="3B174F94" w14:textId="2AB22114" w:rsidR="00644D8F" w:rsidRPr="004C29CE" w:rsidRDefault="00644D8F" w:rsidP="004F4D91">
      <w:pPr>
        <w:pStyle w:val="Paragrafoelenco"/>
        <w:spacing w:before="176"/>
        <w:ind w:left="283" w:right="420" w:firstLine="360"/>
        <w:rPr>
          <w:szCs w:val="24"/>
        </w:rPr>
      </w:pPr>
      <w:r w:rsidRPr="7B68E945">
        <w:rPr>
          <w:szCs w:val="24"/>
        </w:rPr>
        <w:t>With Putin's rise to power, the concept of "great powerness" (Derzhavnost'/Державность) became more prominent and exclusive in Russian discourse. While the gradual dissolution of the ideological divide between the pre-Soviet and Soviet pasts marked a significant departure from the immediate post-Soviet era, Putin actively sought to restore the continuity of these identities, framing them within the logic of great power status (</w:t>
      </w:r>
      <w:r w:rsidR="3798DA0C" w:rsidRPr="7B68E945">
        <w:rPr>
          <w:szCs w:val="24"/>
        </w:rPr>
        <w:t>Kanet &amp; Moulioukova</w:t>
      </w:r>
      <w:r w:rsidRPr="7B68E945">
        <w:rPr>
          <w:szCs w:val="24"/>
        </w:rPr>
        <w:t xml:space="preserve"> 2022, 27). In 2000, in an open letter to Russian voters, he stated:  </w:t>
      </w:r>
    </w:p>
    <w:p w14:paraId="350363EE" w14:textId="08DFB875" w:rsidR="00644D8F" w:rsidRPr="004C29CE" w:rsidRDefault="00644D8F" w:rsidP="004F4D91">
      <w:pPr>
        <w:pStyle w:val="Paragrafoelenco"/>
        <w:spacing w:before="176"/>
        <w:ind w:left="283" w:right="420" w:firstLine="360"/>
        <w:jc w:val="center"/>
        <w:rPr>
          <w:sz w:val="20"/>
          <w:szCs w:val="20"/>
        </w:rPr>
      </w:pPr>
      <w:r w:rsidRPr="004C29CE">
        <w:rPr>
          <w:sz w:val="20"/>
          <w:szCs w:val="20"/>
        </w:rPr>
        <w:t>“Russia has ceased to be an empire, but it has not wasted its potential as a great power. We no longer dictate to anyone and we do not keep anyone from leaving us; instead we have the time and resources to devote to ourselves. The new generation has got a great historic chance to build a Russia that it will not be ashamed to pass on to its children” (Putin 2000).</w:t>
      </w:r>
    </w:p>
    <w:p w14:paraId="2BA88F4D" w14:textId="31632E65" w:rsidR="00644D8F" w:rsidRPr="004C29CE" w:rsidRDefault="00644D8F" w:rsidP="004F4D91">
      <w:pPr>
        <w:pStyle w:val="Paragrafoelenco"/>
        <w:spacing w:before="176"/>
        <w:ind w:left="283" w:right="420" w:firstLine="360"/>
        <w:rPr>
          <w:szCs w:val="24"/>
        </w:rPr>
      </w:pPr>
      <w:r w:rsidRPr="00644D8F">
        <w:rPr>
          <w:szCs w:val="24"/>
        </w:rPr>
        <w:t xml:space="preserve">According to Kazharski (2020, 29), Putin and Medvedev used phrases like "enormous country" (ogromnaya strana/огромная страна) and "one-sixth of the Earth's dry land" (odna shestaya chast' sushi/одна шестая часть суши) to instill national pride in the aftermath of the Soviet Union's territorial loss. In 2002, Putin stated, "Russia will be either great or nothing" (великой или никакой/Velikoy ili nikakoy) (Samokhvalov 2017, 213).   </w:t>
      </w:r>
    </w:p>
    <w:p w14:paraId="7AD084CD" w14:textId="0A9B4829" w:rsidR="00644D8F" w:rsidRPr="004C29CE" w:rsidRDefault="00644D8F" w:rsidP="004F4D91">
      <w:pPr>
        <w:pStyle w:val="Paragrafoelenco"/>
        <w:spacing w:before="176"/>
        <w:ind w:left="283" w:right="420" w:firstLine="360"/>
        <w:rPr>
          <w:szCs w:val="24"/>
        </w:rPr>
      </w:pPr>
      <w:r w:rsidRPr="00644D8F">
        <w:rPr>
          <w:szCs w:val="24"/>
        </w:rPr>
        <w:t xml:space="preserve">While </w:t>
      </w:r>
      <w:r w:rsidR="004C29CE">
        <w:rPr>
          <w:szCs w:val="24"/>
        </w:rPr>
        <w:t>the Kremlin</w:t>
      </w:r>
      <w:r w:rsidRPr="00644D8F">
        <w:rPr>
          <w:szCs w:val="24"/>
        </w:rPr>
        <w:t xml:space="preserve"> has consistently viewed itself as a great power, it has long perceived the West as failing to recognize this status (Smith 2014, 357). A series of events in the early 2000s reinforced this perception. For example, Moscow viewed the 2003 invasion of Iraq as evidence of Western disregard for its interests, particularly given Bush's decision to invade a country that was once a Soviet client and in which Russia had significant financial stakes without consulting Putin (Hansen 2004).  </w:t>
      </w:r>
    </w:p>
    <w:p w14:paraId="52283EBB" w14:textId="542F768E" w:rsidR="00644D8F" w:rsidRPr="004C29CE" w:rsidRDefault="00644D8F" w:rsidP="004F4D91">
      <w:pPr>
        <w:pStyle w:val="Paragrafoelenco"/>
        <w:spacing w:before="176"/>
        <w:ind w:left="283" w:right="420" w:firstLine="360"/>
        <w:rPr>
          <w:szCs w:val="24"/>
        </w:rPr>
      </w:pPr>
      <w:r w:rsidRPr="00644D8F">
        <w:rPr>
          <w:szCs w:val="24"/>
        </w:rPr>
        <w:t xml:space="preserve">Furthermore, NATO's 2004 eastward expansion, which included Bulgaria, Estonia, Latvia, Lithuania, Romania, Slovakia, and Slovenia, as well as the "color revolutions" in Georgia and Ukraine in 2003 and 2004, and the ongoing US military presence in Central Asia, all contributed to Russia's perception of Western encirclement and disregard for its status as a great power. Putin's (in)famous speech at the Munich Security Conference in 2007 centered on the Kremlin's frustration with its inability to establish more balanced relations with the United States, arguing that NATO expansion had no connection to modernizing the alliance or enhancing European security.   </w:t>
      </w:r>
    </w:p>
    <w:p w14:paraId="06FA2663" w14:textId="2DCCF909" w:rsidR="00644D8F" w:rsidRPr="004C29CE" w:rsidRDefault="00644D8F" w:rsidP="004F4D91">
      <w:pPr>
        <w:pStyle w:val="Paragrafoelenco"/>
        <w:spacing w:before="176"/>
        <w:ind w:left="283" w:right="420" w:firstLine="360"/>
        <w:jc w:val="center"/>
        <w:rPr>
          <w:sz w:val="20"/>
          <w:szCs w:val="20"/>
        </w:rPr>
      </w:pPr>
      <w:r w:rsidRPr="004C29CE">
        <w:rPr>
          <w:sz w:val="20"/>
          <w:szCs w:val="20"/>
        </w:rPr>
        <w:t>“On the contrary, it represents a serious provocation that reduces the level of mutual trust. And we have the right to ask: against whom this expansion is intended?” (Putin 2007)</w:t>
      </w:r>
      <w:r w:rsidR="004C29CE">
        <w:rPr>
          <w:sz w:val="20"/>
          <w:szCs w:val="20"/>
        </w:rPr>
        <w:t>.</w:t>
      </w:r>
    </w:p>
    <w:p w14:paraId="0A833767" w14:textId="5B58CD78" w:rsidR="00644D8F" w:rsidRPr="004C29CE" w:rsidRDefault="00644D8F" w:rsidP="004F4D91">
      <w:pPr>
        <w:pStyle w:val="Paragrafoelenco"/>
        <w:spacing w:before="176"/>
        <w:ind w:left="283" w:right="420" w:firstLine="360"/>
        <w:rPr>
          <w:szCs w:val="24"/>
        </w:rPr>
      </w:pPr>
      <w:r w:rsidRPr="00644D8F">
        <w:rPr>
          <w:szCs w:val="24"/>
        </w:rPr>
        <w:t xml:space="preserve">Meanwhile, Russia's perception of being misunderstood by the West as a great power fueled what became known as the "conservative turn" in Russian politics. According to Curanović (2021, 100), elite figures are now emphasizing Russia's unique role in preserving traditional values. These traditional values include marriage as a partnership between a man and a woman, the value of family, religious beliefs, the importance of the state, and patriotism (Trenin 2014). An initial shift toward conservative narratives emerged around 2005-2006, most likely in response to the previously mentioned events in Russia-West relations, but a more pronounced shift was observed domestically between 2012 and 2013. This later development coincided with the ruling elite's declining legitimacy in the face of widespread protests over alleged election rigging in the State Duma (Laruelle 2015).  </w:t>
      </w:r>
    </w:p>
    <w:p w14:paraId="4AF22D6A" w14:textId="0EA4371F" w:rsidR="00644D8F" w:rsidRPr="00D15BE1" w:rsidRDefault="00644D8F" w:rsidP="00D15BE1">
      <w:pPr>
        <w:pStyle w:val="Paragrafoelenco"/>
        <w:spacing w:before="176"/>
        <w:ind w:left="283" w:right="420" w:firstLine="360"/>
        <w:rPr>
          <w:szCs w:val="24"/>
        </w:rPr>
      </w:pPr>
      <w:r w:rsidRPr="00644D8F">
        <w:rPr>
          <w:szCs w:val="24"/>
        </w:rPr>
        <w:t xml:space="preserve">The Kremlin's adherence to traditional values became inextricably linked with its opposition to Western influence, framing Russia's identity within a larger context of resistance to Western encroachment (Hansen 2016). In an interview with "Kommersant" in February 2014, Russian Foreign Minister Sergei Lavrov stated that:  </w:t>
      </w:r>
    </w:p>
    <w:p w14:paraId="7068F6A3" w14:textId="13036CE0" w:rsidR="00644D8F" w:rsidRPr="004C29CE" w:rsidRDefault="00644D8F" w:rsidP="004F4D91">
      <w:pPr>
        <w:pStyle w:val="Paragrafoelenco"/>
        <w:spacing w:before="176"/>
        <w:ind w:left="283" w:right="420" w:firstLine="360"/>
        <w:jc w:val="center"/>
        <w:rPr>
          <w:sz w:val="20"/>
          <w:szCs w:val="20"/>
        </w:rPr>
      </w:pPr>
      <w:r w:rsidRPr="004C29CE">
        <w:rPr>
          <w:sz w:val="20"/>
          <w:szCs w:val="20"/>
        </w:rPr>
        <w:t>“Moral relativism, the promotion of almost unlimited freedom and hedonism, strengthening the position of militant atheism, the withdrawal from the traditional values which have defined the moral foundations for human development for centuries. And all this is promoted with messianic zeal both inside their own country and in relations with their neighbors” (Kommersant 2014).</w:t>
      </w:r>
    </w:p>
    <w:p w14:paraId="4E63AB35" w14:textId="6B7E7FC3" w:rsidR="00644D8F" w:rsidRPr="004C29CE" w:rsidRDefault="00644D8F" w:rsidP="004F4D91">
      <w:pPr>
        <w:pStyle w:val="Paragrafoelenco"/>
        <w:spacing w:before="176"/>
        <w:ind w:left="283" w:right="420" w:firstLine="360"/>
        <w:rPr>
          <w:szCs w:val="24"/>
        </w:rPr>
      </w:pPr>
      <w:r w:rsidRPr="00644D8F">
        <w:rPr>
          <w:szCs w:val="24"/>
        </w:rPr>
        <w:t xml:space="preserve">In 2022, President Putin described the Western value system, which includes diverse family arrangements, acceptance of sexual minorities, and multiple gender identities, as "outright Satanism" (President of Russia 2022). In November of the same year, amidst the ongoing conflict in Ukraine, the Russian government issued a policy document titled "State policy for the preservation and strengthening of traditional Russian spiritual and moral values" (President of Russia 2022).   </w:t>
      </w:r>
    </w:p>
    <w:p w14:paraId="60ABE1A0" w14:textId="77777777" w:rsidR="00644D8F" w:rsidRPr="00644D8F" w:rsidRDefault="00644D8F" w:rsidP="004F4D91">
      <w:pPr>
        <w:pStyle w:val="Paragrafoelenco"/>
        <w:spacing w:before="176"/>
        <w:ind w:left="283" w:right="420" w:firstLine="360"/>
        <w:rPr>
          <w:szCs w:val="24"/>
        </w:rPr>
      </w:pPr>
      <w:r w:rsidRPr="00644D8F">
        <w:rPr>
          <w:szCs w:val="24"/>
        </w:rPr>
        <w:t xml:space="preserve">Therefore, these deeply rooted perceptions of anger and humiliation have become fundamental to Russian self-identity. The Kremlin’s attachment to the conflict with the West offers a sense of familiarity and stability. According to ontological security theory, engaging in conflict with a significant Other provides the routines that help an actor maintain a sense of ontological security.  </w:t>
      </w:r>
    </w:p>
    <w:p w14:paraId="25842729" w14:textId="47EF0936" w:rsidR="00644D8F" w:rsidRPr="004C29CE" w:rsidRDefault="004C29CE" w:rsidP="00C33B50">
      <w:pPr>
        <w:pStyle w:val="Titolo3"/>
        <w:ind w:firstLine="283"/>
      </w:pPr>
      <w:bookmarkStart w:id="45" w:name="_Toc215742659"/>
      <w:r>
        <w:t>3</w:t>
      </w:r>
      <w:r w:rsidRPr="00B32F43">
        <w:t>.</w:t>
      </w:r>
      <w:r>
        <w:t>3.</w:t>
      </w:r>
      <w:r w:rsidR="00036037">
        <w:t>4</w:t>
      </w:r>
      <w:r w:rsidRPr="00B32F43">
        <w:t xml:space="preserve">.  </w:t>
      </w:r>
      <w:r>
        <w:t xml:space="preserve">Moral </w:t>
      </w:r>
      <w:r w:rsidR="00031E6D">
        <w:t>S</w:t>
      </w:r>
      <w:r>
        <w:t xml:space="preserve">ubjectivity and </w:t>
      </w:r>
      <w:r w:rsidR="00031E6D">
        <w:t>C</w:t>
      </w:r>
      <w:r>
        <w:t xml:space="preserve">ultural </w:t>
      </w:r>
      <w:r w:rsidR="00031E6D">
        <w:t>Al</w:t>
      </w:r>
      <w:r>
        <w:t>lies</w:t>
      </w:r>
      <w:bookmarkEnd w:id="45"/>
    </w:p>
    <w:p w14:paraId="5B99C4CB" w14:textId="166A738B" w:rsidR="00644D8F" w:rsidRPr="004C29CE" w:rsidRDefault="00644D8F" w:rsidP="004F4D91">
      <w:pPr>
        <w:pStyle w:val="Paragrafoelenco"/>
        <w:spacing w:before="176"/>
        <w:ind w:left="283" w:right="420" w:firstLine="360"/>
        <w:rPr>
          <w:szCs w:val="24"/>
        </w:rPr>
      </w:pPr>
      <w:r w:rsidRPr="00644D8F">
        <w:rPr>
          <w:szCs w:val="24"/>
        </w:rPr>
        <w:t xml:space="preserve">The final dimension regarding post-Soviet Russia’s Self discussed in this chapter concerns what I refer to as matters of moral subjectivity. The latter refers to the notion that Russia views itself as a fundamentally moral force in the world, and that the roles it assumes within the international system are expressions of its self-perceived need of being recognized as a deeper moral authority. Understanding this aspect is crucial for grasping how Russia builds its pursuit of ontological security not only by the desire for recognition in horizontal relationships with the West, but also by the need to maintain hierarchical or vertical relations with its periphery. </w:t>
      </w:r>
    </w:p>
    <w:p w14:paraId="175C7511" w14:textId="40388BFF" w:rsidR="00644D8F" w:rsidRPr="004C29CE" w:rsidRDefault="00644D8F" w:rsidP="004F4D91">
      <w:pPr>
        <w:pStyle w:val="Paragrafoelenco"/>
        <w:spacing w:before="176"/>
        <w:ind w:left="283" w:right="420" w:firstLine="360"/>
        <w:rPr>
          <w:szCs w:val="24"/>
        </w:rPr>
      </w:pPr>
      <w:r w:rsidRPr="00644D8F">
        <w:rPr>
          <w:szCs w:val="24"/>
        </w:rPr>
        <w:t xml:space="preserve">In fact, for centuries Russia operated as a political entity that existed prior to the emergence of European international society, maintaining a social world in which it held the normative authority to set standards, affirming both its own primacy and the perceived superiority of significant others (Narozhna 2021, 65). In the mid-15th century, following the fall of Byzantium to the Ottoman Empire, Russia began to articulate a vision of itself as the “Third Rome,” positioning itself as the spiritual heir to the Byzantine Empire and the new global center of Orthodox Christianity (Tsygankov 2014a, 34). In the early 16th century, the monk Philotheus of Pskov wrote a letter to Prince Vasili III declaring that Russia was now responsible for keeping and protecting the Christian faith after the fall of Rome in 476 and Constantinople in 1453 (Curanović 2020, 103). As Ryabova &amp; Ryabov (2010, 58) point out, this idea played a key role in masculinizing Russia’s discourse and self-image, shaping its portrayal as both guardian and warrior, and reinforcing its enduring sense of honor.  </w:t>
      </w:r>
    </w:p>
    <w:p w14:paraId="1A10A0AD" w14:textId="19FE7C5F" w:rsidR="00644D8F" w:rsidRPr="004C29CE" w:rsidRDefault="00644D8F" w:rsidP="004F4D91">
      <w:pPr>
        <w:pStyle w:val="Paragrafoelenco"/>
        <w:spacing w:before="176"/>
        <w:ind w:left="283" w:right="420" w:firstLine="360"/>
        <w:rPr>
          <w:szCs w:val="24"/>
        </w:rPr>
      </w:pPr>
      <w:r w:rsidRPr="00644D8F">
        <w:rPr>
          <w:szCs w:val="24"/>
        </w:rPr>
        <w:t xml:space="preserve">Prominent thinkers, writers, and philosophers expanded on Russia's image as a Christian and moral power. Among them was the Slavophile philosopher Ivan Kireyevsky, who believed that Russia was the protector of Christianity's true essence, the guardian of “spiritual Truth” (Neumann 1996, 34-35). Fyodor Stepun (1884–1965) shared this conviction, and Fyodor Dostoyevsky famously depicted Russia as a "God-bearing nation," fated to redeem humanity through its faith and suffering (Romanowski 2013, 86). Eurasianist thinker Konstantin Leontiev saw Russia as the rightful successor to Byzantium's historical mission (Curanović 2020, 123). </w:t>
      </w:r>
    </w:p>
    <w:p w14:paraId="52F4CBF8" w14:textId="1CF8124F" w:rsidR="00644D8F" w:rsidRPr="004C29CE" w:rsidRDefault="00644D8F" w:rsidP="004F4D91">
      <w:pPr>
        <w:pStyle w:val="Paragrafoelenco"/>
        <w:spacing w:before="176"/>
        <w:ind w:left="283" w:right="420" w:firstLine="360"/>
        <w:rPr>
          <w:szCs w:val="24"/>
        </w:rPr>
      </w:pPr>
      <w:r w:rsidRPr="00644D8F">
        <w:rPr>
          <w:szCs w:val="24"/>
        </w:rPr>
        <w:t xml:space="preserve">Importantly, Russia’s self-conception was not merely symbolic. In the eighteenth and nineteenth centuries, this image provided a powerful political justification for its repeated military confrontations with the Ottoman Empire. These campaigns were framed, at least in part, as efforts to protect the rights of millions of Christians who, at the time, made up more than a third of the Ottoman population (Tsygankov 2014a, 34). Article I of the Treaty of Küçük Kaynarca in 1774, which marked the end of the Russo-Turkish War of 1768–74, stated that “pardon and amnesty were granted in relation to all Christian subjects within the Ottoman Empire who fought against the Ottomans” (Jakjimovsjka n.d.). </w:t>
      </w:r>
    </w:p>
    <w:p w14:paraId="38EBC77D" w14:textId="463E98DA" w:rsidR="00644D8F" w:rsidRPr="004C29CE" w:rsidRDefault="00644D8F" w:rsidP="004F4D91">
      <w:pPr>
        <w:pStyle w:val="Paragrafoelenco"/>
        <w:spacing w:before="176"/>
        <w:ind w:left="283" w:right="420" w:firstLine="360"/>
        <w:rPr>
          <w:szCs w:val="24"/>
        </w:rPr>
      </w:pPr>
      <w:r w:rsidRPr="00644D8F">
        <w:rPr>
          <w:szCs w:val="24"/>
        </w:rPr>
        <w:t xml:space="preserve">This tradition of framing intervention as a moral obligation did not cease with the conclusion of the imperial era; instead, it persists in influencing Russia's self-perception as a moral authority in contemporary times. Examining Russia’s interventions in Georgia in 2008 and Crimea in 2014, Reshetnikov (2017, 165) describes the Kremlin’s actions as reflexive practices that reaffirm a stable sense of Self through the language of moral obligation. For example, in May 2014, during a Q&amp;A session at the Saint Petersburg International Economic Forum, President Putin stated that had Russia not annexed Crimea, “there would be more casualties there than in Odessa,” referring to the tragic incident at Odessa’s Trade Unions House, where clashes and a fire caused by Ukrainian nationalist paramilitaries resulted in 48 deaths and hundreds of injuries.  </w:t>
      </w:r>
    </w:p>
    <w:p w14:paraId="62672108" w14:textId="38C08B4C" w:rsidR="00644D8F" w:rsidRPr="004C29CE" w:rsidRDefault="00644D8F" w:rsidP="004F4D91">
      <w:pPr>
        <w:pStyle w:val="Paragrafoelenco"/>
        <w:spacing w:before="176"/>
        <w:ind w:left="283" w:right="420" w:firstLine="360"/>
        <w:rPr>
          <w:szCs w:val="24"/>
        </w:rPr>
      </w:pPr>
      <w:r w:rsidRPr="00644D8F">
        <w:rPr>
          <w:szCs w:val="24"/>
        </w:rPr>
        <w:t xml:space="preserve">Russian officials deliberately invoked the specter of "genocide" against the Ossetian people during the 2008 conflict, portraying the operation as a moral imperative (Reshetnikov 2017). In August 2008, while serving as prime minister, Putin visited a tent hospital sheltering refugees from South Ossetia. After hearing accounts of atrocities committed by Georgian troops, he responded, “They have gone totally mad. It is genocide, really” (Toal 2017, 182). Furthermore, in September 2008, Foreign Minister Sergei Lavrov emphasized that Russia would “responsibly” undertake its “mediation mission in the negotiation process and peacekeeping” efforts in Nagorno-Karabakh, highlighting that “each place has its specific features, its formats, and mechanisms of mediation” (Allison 2008, 190). </w:t>
      </w:r>
    </w:p>
    <w:p w14:paraId="0CE2B939" w14:textId="5EABD5CD" w:rsidR="00644D8F" w:rsidRPr="004C29CE" w:rsidRDefault="00644D8F" w:rsidP="004F4D91">
      <w:pPr>
        <w:pStyle w:val="Paragrafoelenco"/>
        <w:spacing w:before="176"/>
        <w:ind w:left="283" w:right="420" w:firstLine="360"/>
        <w:rPr>
          <w:szCs w:val="24"/>
        </w:rPr>
      </w:pPr>
      <w:r w:rsidRPr="00644D8F">
        <w:rPr>
          <w:szCs w:val="24"/>
        </w:rPr>
        <w:t xml:space="preserve">While it might be argued that interventions are merely reflexive acts by which Russia seeks to maintain the coherence of its biographical narrative, I contend that such practices cannot be studied in isolation. Rather, they must be understood in relation to those “Others” who recognize and affirm Russia’s moral authority. In this regard, Tsygankov’s concept of “cultural allies” proves especially valuable, as it sheds light on how external recognition has helped shape Russia’s sense of moral purpose as a central element in its pursuit of ontological security, but not only as a reflexive act. </w:t>
      </w:r>
    </w:p>
    <w:p w14:paraId="20C8818D" w14:textId="0A17AC7A" w:rsidR="00644D8F" w:rsidRPr="004C29CE" w:rsidRDefault="00644D8F" w:rsidP="004F4D91">
      <w:pPr>
        <w:pStyle w:val="Paragrafoelenco"/>
        <w:spacing w:before="176"/>
        <w:ind w:left="283" w:right="420" w:firstLine="360"/>
        <w:rPr>
          <w:szCs w:val="24"/>
        </w:rPr>
      </w:pPr>
      <w:r w:rsidRPr="00644D8F">
        <w:rPr>
          <w:szCs w:val="24"/>
        </w:rPr>
        <w:t xml:space="preserve">Cultural allies are nations or communities with which Russia identifies at a given historical moment, and towards which it adopts a distinctly paternalistic stance (Tsygankov 2014a, 34; Curanović 2020, 135). In fact, Russia does not consider cultural allies as equal partners but rather as kin that it sees as deserving of its protection and care (Curanović 2020, 135). As observed by Obolonsky (2018, 80), this hierarchical perspective on foreign policy can be traced back to Fyodor Dostoyevsky, who believed that only Russia could unite and protect the Slavic peoples and Orthodox nations. According to Tsygankov, the concept of "cultural allies" has never been static but has evolved. As he writes: </w:t>
      </w:r>
    </w:p>
    <w:p w14:paraId="008566D7" w14:textId="4CE35DB4" w:rsidR="00644D8F" w:rsidRPr="004C29CE" w:rsidRDefault="00644D8F" w:rsidP="00D15BE1">
      <w:pPr>
        <w:pStyle w:val="Paragrafoelenco"/>
        <w:spacing w:before="176"/>
        <w:ind w:left="283" w:right="420" w:firstLine="360"/>
        <w:jc w:val="center"/>
        <w:rPr>
          <w:sz w:val="20"/>
          <w:szCs w:val="20"/>
        </w:rPr>
      </w:pPr>
      <w:r w:rsidRPr="004C29CE">
        <w:rPr>
          <w:sz w:val="20"/>
          <w:szCs w:val="20"/>
        </w:rPr>
        <w:t>“The definition of cultural allies changed over time. In the twentieth century, the ideologically transformed Soviet Russia was no longer committed to defending Christians or Slavs as it had been a century earlier. Instead, the state’s international assistance was geared to support the honor of socialism and egalitarian ideology. The Soviet rulers provided financial assistance and political support for communist parties across the world” (Tsygankov 2014a, 34).</w:t>
      </w:r>
    </w:p>
    <w:p w14:paraId="242DDD22" w14:textId="085AC702" w:rsidR="00644D8F" w:rsidRPr="004C29CE" w:rsidRDefault="00644D8F" w:rsidP="004F4D91">
      <w:pPr>
        <w:pStyle w:val="Paragrafoelenco"/>
        <w:spacing w:before="176"/>
        <w:ind w:left="283" w:right="420" w:firstLine="360"/>
        <w:rPr>
          <w:szCs w:val="24"/>
        </w:rPr>
      </w:pPr>
      <w:r w:rsidRPr="7B68E945">
        <w:rPr>
          <w:szCs w:val="24"/>
        </w:rPr>
        <w:t>Today, Tsygankov (2014</w:t>
      </w:r>
      <w:r w:rsidR="3FB38232" w:rsidRPr="7B68E945">
        <w:rPr>
          <w:szCs w:val="24"/>
        </w:rPr>
        <w:t>a,</w:t>
      </w:r>
      <w:r w:rsidRPr="7B68E945">
        <w:rPr>
          <w:szCs w:val="24"/>
        </w:rPr>
        <w:t xml:space="preserve"> 35) argues that the Russian Federation perceives a similar moral obligation to defend the so-called “Russkiy mir” (Русский мир). As per the definition outlined by the Russkiy Mir Foundation (n.d.), which was established in 2007 under President Putin's leadership, the latter denotes a collective comprising ethnic Russians, non-Russian citizens of the Russian Federation, the Russian diaspora, individuals fluent in Russian, and those who express concerns about the future of Russia. Patriarch Kirill characterized Russkiy Mir as a community based on the Orthodox faith and the Russian culture and language, as well as a common historical memory and a model of socio-economic development (Russian Orthodox Church 2009). According to Curanović (2020, 135), following the annexation of Crimea, the conflict in Eastern Ukraine, and the war in Syria, Russian-speaking populations in former Soviet republics and Christians in the Middle East, have increasingly come to be seen as part of this extended kinship. </w:t>
      </w:r>
    </w:p>
    <w:p w14:paraId="3D371C02" w14:textId="5A7C1D37" w:rsidR="00644D8F" w:rsidRPr="004C29CE" w:rsidRDefault="00644D8F" w:rsidP="004F4D91">
      <w:pPr>
        <w:pStyle w:val="Paragrafoelenco"/>
        <w:spacing w:before="176"/>
        <w:ind w:left="283" w:right="420" w:firstLine="360"/>
        <w:rPr>
          <w:szCs w:val="24"/>
        </w:rPr>
      </w:pPr>
      <w:r w:rsidRPr="00644D8F">
        <w:rPr>
          <w:szCs w:val="24"/>
        </w:rPr>
        <w:t xml:space="preserve">While I adopt Tsygankov’s concept of cultural allies as a key reference for understanding the role of significant Others in Russia’s quest for ontological security, I find it important to raise two main critiques of the way he frames this notion. First, although Tsygankov states that the overarching aim of his book is “to demonstrate change and continuity in Russia’s foreign policy as shaped by considerations of state honor” (2014a, 8), he primarily conceptualizes continuity in relation to Russia’s engagement with the West, paying comparatively little attention to its ties with cultural allies. In fact, he treats Russia’s interactions with post-Soviet countries primarily as outcomes of its broader ambitions as a great power, suggesting that horizontal relations determine the nature of vertical ones.  </w:t>
      </w:r>
    </w:p>
    <w:p w14:paraId="0831D2CC" w14:textId="47A0E6D9" w:rsidR="00644D8F" w:rsidRPr="004C29CE" w:rsidRDefault="00644D8F" w:rsidP="004F4D91">
      <w:pPr>
        <w:pStyle w:val="Paragrafoelenco"/>
        <w:spacing w:before="176"/>
        <w:ind w:left="283" w:right="420" w:firstLine="360"/>
        <w:rPr>
          <w:szCs w:val="24"/>
        </w:rPr>
      </w:pPr>
      <w:r w:rsidRPr="00644D8F">
        <w:rPr>
          <w:szCs w:val="24"/>
        </w:rPr>
        <w:t xml:space="preserve">This interpretation underestimates relations between the Kremlin and the republics which emerged from the ashes of the Soviet Union. These countries, bound to Russia by nearly 270 years of shared political history, confronted the Kremlin with the choice of either relinquishing its imperial legacy in favor of equal, sovereign partnerships or continuing to view the former Soviet space as its natural sphere of influence.  </w:t>
      </w:r>
    </w:p>
    <w:p w14:paraId="4A21CC19" w14:textId="093EF6CB" w:rsidR="00644D8F" w:rsidRPr="004C29CE" w:rsidRDefault="00644D8F" w:rsidP="004F4D91">
      <w:pPr>
        <w:pStyle w:val="Paragrafoelenco"/>
        <w:spacing w:before="176"/>
        <w:ind w:left="283" w:right="420" w:firstLine="360"/>
        <w:rPr>
          <w:szCs w:val="24"/>
        </w:rPr>
      </w:pPr>
      <w:r w:rsidRPr="00644D8F">
        <w:rPr>
          <w:szCs w:val="24"/>
        </w:rPr>
        <w:t xml:space="preserve">In the eyes of the Russian leadership, these states represented both distinct Others and extensions of the Russian Self. This blurred boundary was aptly captured by Vladimir Kazimirov, who served as Ambassador-at-Large and Plenipotentiary Representative of the President of the Russian Federation in the Nagorno-Karabakh peace process from 1992 to 1996. Reflecting on this conflict, he wrote: </w:t>
      </w:r>
    </w:p>
    <w:p w14:paraId="4165A4FF" w14:textId="6AC8BC9A" w:rsidR="00644D8F" w:rsidRPr="009D35FA" w:rsidRDefault="00644D8F" w:rsidP="004F4D91">
      <w:pPr>
        <w:pStyle w:val="Paragrafoelenco"/>
        <w:spacing w:before="176"/>
        <w:ind w:left="283" w:right="420" w:firstLine="360"/>
        <w:jc w:val="center"/>
        <w:rPr>
          <w:sz w:val="20"/>
          <w:szCs w:val="20"/>
        </w:rPr>
      </w:pPr>
      <w:r w:rsidRPr="004C29CE">
        <w:rPr>
          <w:sz w:val="20"/>
          <w:szCs w:val="20"/>
        </w:rPr>
        <w:t>“At that point, we were instructed not to view the conflict as ‘our own’: both Azerbaijan and Armenia had already proclaimed their independence. But it was impossible to treat it as a foreign affair either: both the Azeris and the Armenians were still our own fellow countrymen for us – our own lads were dying! And this later proved to be one of the distinctive features of our peacemaking efforts in Karabakh” (Kazimirov 2014, 25)</w:t>
      </w:r>
      <w:r w:rsidR="009D35FA">
        <w:rPr>
          <w:sz w:val="20"/>
          <w:szCs w:val="20"/>
        </w:rPr>
        <w:t>.</w:t>
      </w:r>
    </w:p>
    <w:p w14:paraId="4D9D88A2" w14:textId="442E2701" w:rsidR="00644D8F" w:rsidRPr="009D35FA" w:rsidRDefault="00644D8F" w:rsidP="004F4D91">
      <w:pPr>
        <w:pStyle w:val="Paragrafoelenco"/>
        <w:spacing w:before="176"/>
        <w:ind w:left="283" w:right="420" w:firstLine="360"/>
        <w:rPr>
          <w:szCs w:val="24"/>
        </w:rPr>
      </w:pPr>
      <w:r w:rsidRPr="00644D8F">
        <w:rPr>
          <w:szCs w:val="24"/>
        </w:rPr>
        <w:t xml:space="preserve">The Russian leadership’s need to clarify its ambiguous relationship with these states coincided with the outbreak of ethno-territorial conflicts both across the post-Soviet region (Azerbaijan, Armenia, Moldova, Georgia, and Tajikistan) and within Russia itself (Chechnya, Ingushetia, North Ossetia, Dagestan). In the years that followed, Moscow became increasingly involved in these conflicts, successfully brokering ceasefire agreements, consolidating its military presence, and promoting integration mechanisms designed to draw these countries into its sphere of influence. </w:t>
      </w:r>
    </w:p>
    <w:p w14:paraId="31283837" w14:textId="056B754C" w:rsidR="00644D8F" w:rsidRPr="009D35FA" w:rsidRDefault="00644D8F" w:rsidP="004F4D91">
      <w:pPr>
        <w:pStyle w:val="Paragrafoelenco"/>
        <w:spacing w:before="176"/>
        <w:ind w:left="283" w:right="420" w:firstLine="360"/>
        <w:rPr>
          <w:szCs w:val="24"/>
        </w:rPr>
      </w:pPr>
      <w:r w:rsidRPr="00644D8F">
        <w:rPr>
          <w:szCs w:val="24"/>
        </w:rPr>
        <w:t xml:space="preserve">It is in this context that the idea of Russia reclaiming its historical role as the region’s protector began to resurface. In 1992, Armenian-born Russian political scientist Andranik Migranyan, then an adviser to President Boris Yeltsin and a professor at the Moscow State Institute of International Relations (MGIMO), argued that “many of these territories [post-Soviet countries] were part of the Russian Empire long before they were incorporated into the newly formed independent states, and therefore they had to be protected by Russia” (Sagramoso 2000, 37). Even during Russia’s brief period of pro-Western foreign policy. In a 1993 speech to the Civic Union Congress, President Yeltsin declared: </w:t>
      </w:r>
    </w:p>
    <w:p w14:paraId="228AFB3A" w14:textId="0AAF1B0F" w:rsidR="00644D8F" w:rsidRPr="009D35FA" w:rsidRDefault="00644D8F" w:rsidP="004F4D91">
      <w:pPr>
        <w:pStyle w:val="Paragrafoelenco"/>
        <w:spacing w:before="176"/>
        <w:ind w:left="283" w:right="420" w:firstLine="360"/>
        <w:jc w:val="center"/>
        <w:rPr>
          <w:sz w:val="20"/>
          <w:szCs w:val="20"/>
        </w:rPr>
      </w:pPr>
      <w:r w:rsidRPr="009D35FA">
        <w:rPr>
          <w:sz w:val="20"/>
          <w:szCs w:val="20"/>
        </w:rPr>
        <w:t>“Stopping all armed conflicts on the territory of former Soviet Union is Russia’s vital interest. The world community sees more and more clearly Russia’s special responsibility in this difficult undertaking” (Yeltsin 1993 in Toal 2017, 43).</w:t>
      </w:r>
    </w:p>
    <w:p w14:paraId="1EE52B42" w14:textId="59FE8815" w:rsidR="00644D8F" w:rsidRPr="009D35FA" w:rsidRDefault="00644D8F" w:rsidP="004F4D91">
      <w:pPr>
        <w:pStyle w:val="Paragrafoelenco"/>
        <w:spacing w:before="176"/>
        <w:ind w:left="283" w:right="420" w:firstLine="360"/>
        <w:rPr>
          <w:szCs w:val="24"/>
        </w:rPr>
      </w:pPr>
      <w:r w:rsidRPr="00644D8F">
        <w:rPr>
          <w:szCs w:val="24"/>
        </w:rPr>
        <w:t xml:space="preserve">The enduring notion of Russia as a moral power is well anchored in its post-Soviet Self. Although Tsarist imperial practices may have seemed to have faded by the time the Soviet Union collapsed, their continued presence during the Soviet period, even in altered forms, helped embed them deeply within the Russian Self. As argued by Oskanian: </w:t>
      </w:r>
    </w:p>
    <w:p w14:paraId="55118A50" w14:textId="13F2A360" w:rsidR="00644D8F" w:rsidRPr="009D35FA" w:rsidRDefault="00644D8F" w:rsidP="004F4D91">
      <w:pPr>
        <w:pStyle w:val="Paragrafoelenco"/>
        <w:spacing w:before="176"/>
        <w:ind w:left="283" w:right="420" w:firstLine="360"/>
        <w:jc w:val="center"/>
        <w:rPr>
          <w:sz w:val="20"/>
          <w:szCs w:val="20"/>
        </w:rPr>
      </w:pPr>
      <w:r w:rsidRPr="009D35FA">
        <w:rPr>
          <w:sz w:val="20"/>
          <w:szCs w:val="20"/>
        </w:rPr>
        <w:t>“Russia also saw itself as a defender of a certain kind of instrumentally bounded authenticity for ‘its’ peoples. While the Tsars’ ‘becoming a brother to the conquered’ turned into the Bolsheviks’ ‘brotherhood of peoples’” (Oskanian 2017, 4).</w:t>
      </w:r>
    </w:p>
    <w:p w14:paraId="553C17A0" w14:textId="0B0662E0" w:rsidR="00644D8F" w:rsidRPr="009D35FA" w:rsidRDefault="00644D8F" w:rsidP="004F4D91">
      <w:pPr>
        <w:pStyle w:val="Paragrafoelenco"/>
        <w:spacing w:before="176"/>
        <w:ind w:left="283" w:right="420" w:firstLine="360"/>
        <w:rPr>
          <w:szCs w:val="24"/>
        </w:rPr>
      </w:pPr>
      <w:r w:rsidRPr="00644D8F">
        <w:rPr>
          <w:szCs w:val="24"/>
        </w:rPr>
        <w:t xml:space="preserve">Russia's relationship with its periphery is central to its self-image as a distinct civilization bridging Europe and Asia, as well as the enduring sense of exceptionalism that has shaped the Russian Self throughout the Tsarist, Soviet, and post-Soviet eras (Layton 1995; Morozov 2015; Oskanian 2017; Curanović 2020). These themes are reflected in the 2023 Concept of the Foreign Policy of the Russian Federation, which states in point 49 that “Russia, strengthening its position as one of the influential sovereign centers of world development and civilization [needs] to ensure sustainable long-term good-neighborly relations and to combine the strengths in various fields with the CIS member states, which are connected with Russia by centuries-old traditions of joint statehood, deep interdependence in various fields, a common language and close cultures.” Similarly, point 43.5 highlights the importance of “preserving centuries-old civilizational and spiritual ties between the people of Russia and the peoples of these states.” </w:t>
      </w:r>
    </w:p>
    <w:p w14:paraId="62D3B6F8" w14:textId="31344B81" w:rsidR="00644D8F" w:rsidRPr="009D35FA" w:rsidRDefault="00644D8F" w:rsidP="004F4D91">
      <w:pPr>
        <w:pStyle w:val="Paragrafoelenco"/>
        <w:spacing w:before="176"/>
        <w:ind w:left="283" w:right="420" w:firstLine="360"/>
        <w:rPr>
          <w:szCs w:val="24"/>
        </w:rPr>
      </w:pPr>
      <w:r w:rsidRPr="00644D8F">
        <w:rPr>
          <w:szCs w:val="24"/>
        </w:rPr>
        <w:t xml:space="preserve">Hence, it can be argued that the Russian Self is grounded in a proud belief in Russia’s civilizing mission toward its periphery and in its role as the bearer of a dominant order over populations viewed as subordinate to the imperial center (Morozov 2015, 65). Oskanian (2017, 4) similarly notes that this sense of exceptionalism has long justified a hierarchical outlook toward Russia’s eastern periphery, particularly the Caucasus and Central Asia. Tsarist expansion in these regions illustrates the diversified nature of imperial policies. In the Caucasus, where Christian populations such as Georgians and Armenians were already established, the Russian Empire often pursued protectorate-like relationships with these groups, while simultaneously conducting relentless military campaigns against Muslim tribes portrayed as uncivilized and resistant to Russian authority (Layton 1995, 2). </w:t>
      </w:r>
    </w:p>
    <w:p w14:paraId="187C9E77" w14:textId="6A629EE2" w:rsidR="00644D8F" w:rsidRPr="009D35FA" w:rsidRDefault="00644D8F" w:rsidP="004F4D91">
      <w:pPr>
        <w:pStyle w:val="Paragrafoelenco"/>
        <w:spacing w:before="176"/>
        <w:ind w:left="283" w:right="420" w:firstLine="360"/>
        <w:rPr>
          <w:szCs w:val="24"/>
        </w:rPr>
      </w:pPr>
      <w:r w:rsidRPr="00644D8F">
        <w:rPr>
          <w:szCs w:val="24"/>
        </w:rPr>
        <w:t xml:space="preserve">With these premises established, I now return to the concept of cultural allies and their significance for the Kremlin’s ontological security. Many of the scholars referenced earlier have interpreted Moscow’s decision to go to war with Georgia and its subsequent recognition of South Ossetia and Abkhazia as independent states in 2008 primarily as a response to a deepening sense of humiliation in its relationship with the West. Among the events said to have shaped this sentiment, the “color revolutions” in Georgia (2003) and Ukraine (2004), NATO’s 2004 enlargement to include the Baltic states, Western support for Kosovo’s independence in 2008, and the NATO summit held that same year in Bucharest stand out. At this event, Ukraine and Georgia were officially considered for future NATO membership. Russia then issued strong warnings about the political and military consequences of such expansion (Tsygankov 2014a, 246; Curanović 2020, 228). </w:t>
      </w:r>
    </w:p>
    <w:p w14:paraId="1AB0DEA2" w14:textId="7881A23A" w:rsidR="00644D8F" w:rsidRPr="009D35FA" w:rsidRDefault="00644D8F" w:rsidP="004F4D91">
      <w:pPr>
        <w:pStyle w:val="Paragrafoelenco"/>
        <w:spacing w:before="176"/>
        <w:ind w:left="283" w:right="420" w:firstLine="360"/>
        <w:rPr>
          <w:szCs w:val="24"/>
        </w:rPr>
      </w:pPr>
      <w:r w:rsidRPr="00644D8F">
        <w:rPr>
          <w:szCs w:val="24"/>
        </w:rPr>
        <w:t xml:space="preserve">Another significant event worthy of consideration is Russia’s justification of its use of force against Georgia in the 2008 war, which was framed as a necessary measure to protect its allies. The Kremlin defended its intervention as an act aimed at safeguarding “compatriots and peacekeepers” in Abkhazia and South Ossetia, pointing to the widespread issuance of Russian passports to local populations and the presence of Russian peacekeepers in these territories since the early 1990s (Reshetnikov 2017, 173–174).  </w:t>
      </w:r>
    </w:p>
    <w:p w14:paraId="235C5AAB" w14:textId="015B7E84" w:rsidR="00644D8F" w:rsidRPr="009D35FA" w:rsidRDefault="00644D8F" w:rsidP="004F4D91">
      <w:pPr>
        <w:pStyle w:val="Paragrafoelenco"/>
        <w:spacing w:before="176"/>
        <w:ind w:left="283" w:right="420" w:firstLine="360"/>
        <w:rPr>
          <w:szCs w:val="24"/>
        </w:rPr>
      </w:pPr>
      <w:r w:rsidRPr="00644D8F">
        <w:rPr>
          <w:szCs w:val="24"/>
        </w:rPr>
        <w:t xml:space="preserve">Russia’s use of the language of humanitarian responsibility, grounded in international legal norms such as the Responsibility to Protect (R2P), has been interpreted as reflecting its engagement with the West and its need to have its self-ascribed role as a great power recognized (Allison 2008; Mankoff 2009). While I agree with Morozov (2015, 19) that Russia has been integrated into the Eurocentric international order and remains normatively dependent on the West, this sense of responsibility cannot be understood solely in terms of Russia’s desire for recognition as an equal. It must also be viewed through the lens of Russia’s perception of itself as a morally superior force within the region. </w:t>
      </w:r>
    </w:p>
    <w:p w14:paraId="4159449D" w14:textId="28D8895D" w:rsidR="00644D8F" w:rsidRPr="009D35FA" w:rsidRDefault="009D35FA" w:rsidP="00C33B50">
      <w:pPr>
        <w:pStyle w:val="Titolo2"/>
        <w:ind w:firstLine="283"/>
      </w:pPr>
      <w:bookmarkStart w:id="46" w:name="_Toc215742660"/>
      <w:r>
        <w:t>Conclusion</w:t>
      </w:r>
      <w:bookmarkEnd w:id="46"/>
    </w:p>
    <w:p w14:paraId="51C711D6" w14:textId="2F3222D3" w:rsidR="00644D8F" w:rsidRPr="009D35FA" w:rsidRDefault="00644D8F" w:rsidP="004F4D91">
      <w:pPr>
        <w:pStyle w:val="Paragrafoelenco"/>
        <w:spacing w:before="176"/>
        <w:ind w:left="283" w:right="420" w:firstLine="360"/>
        <w:rPr>
          <w:szCs w:val="24"/>
        </w:rPr>
      </w:pPr>
      <w:r w:rsidRPr="00644D8F">
        <w:rPr>
          <w:szCs w:val="24"/>
        </w:rPr>
        <w:t xml:space="preserve">This chapter has shown that understanding Russia’s role in the Nagorno-Karabakh conflict requires, first and foremost, a clear grasp of the conflict’s evolution and of the debates that have shaped its interpretation. The opening sections traced the emergence of the Armenian–Azerbaijani dispute, the dynamics of the three war periods, and the shifting military, diplomatic, and socio-political conditions that defined both interwar phases. This overview was necessary not only to contextualize Russia’s involvement but also to clarify the complexity of the environment in which Moscow operated.  </w:t>
      </w:r>
    </w:p>
    <w:p w14:paraId="0352053C" w14:textId="0F7F66E2" w:rsidR="00644D8F" w:rsidRPr="009D35FA" w:rsidRDefault="00644D8F" w:rsidP="004F4D91">
      <w:pPr>
        <w:pStyle w:val="Paragrafoelenco"/>
        <w:spacing w:before="176"/>
        <w:ind w:left="283" w:right="420" w:firstLine="360"/>
        <w:rPr>
          <w:szCs w:val="24"/>
        </w:rPr>
      </w:pPr>
      <w:r w:rsidRPr="00644D8F">
        <w:rPr>
          <w:szCs w:val="24"/>
        </w:rPr>
        <w:t xml:space="preserve">The subsequent sections examined how scholars have interpreted Russian practices across these stages, whether as Armenia’s ally, Azerbaijan’s strategic partner, Turkey’s counterpart, the main mediator, or the main weapons supplier. Despite their differences, these accounts share a common reliance on outcome-based explanations and on assumptions about Russian interests, capabilities, and strategic constraints. As the chapter demonstrated, this has limited the literature’s ability to analyze how Russia itself perceived the conflict or the deeper reasons behind its persistent ambiguity. Finally, the review of constructivist approaches to Russian foreign policy highlighted the main ontological concerns that have been central to the Kremlin: matters of biographical continuity, the existential threat of disintegration, great-power identity, and matters of moral subjectivity related to hierarchical recognition and culturally meaningful allies.  </w:t>
      </w:r>
    </w:p>
    <w:p w14:paraId="0BE8A50B" w14:textId="47DD0A70" w:rsidR="00644D8F" w:rsidRDefault="00644D8F" w:rsidP="004F4D91">
      <w:pPr>
        <w:pStyle w:val="Paragrafoelenco"/>
        <w:spacing w:before="176"/>
        <w:ind w:left="283" w:right="420" w:firstLine="360"/>
        <w:rPr>
          <w:szCs w:val="24"/>
        </w:rPr>
      </w:pPr>
      <w:r w:rsidRPr="00644D8F">
        <w:rPr>
          <w:szCs w:val="24"/>
        </w:rPr>
        <w:t xml:space="preserve">While this last insight illuminates important dimensions of Russian selfhood, it has not been applied to Russia’s involvement in Nagorno-Karabakh. Yet it is precisely this last aspect—only that lies at the core of my argument: Russia’s sense of itself as a morally significant actor is not merely a reflection of its search for horizontal recognition from the West but is rooted in a vertical, hierarchical conception of honor inherited from its pre-modern imperial identity, in which certain cultural allies, such as Armenia, play a crucial role in affirming Russia’s moral standing. </w:t>
      </w:r>
    </w:p>
    <w:p w14:paraId="05E63552" w14:textId="6B983AF7" w:rsidR="00036037" w:rsidRDefault="00036037" w:rsidP="004F4D91">
      <w:pPr>
        <w:pStyle w:val="Paragrafoelenco"/>
        <w:spacing w:before="176"/>
        <w:ind w:left="283" w:right="420" w:firstLine="360"/>
        <w:rPr>
          <w:szCs w:val="24"/>
        </w:rPr>
      </w:pPr>
    </w:p>
    <w:p w14:paraId="4A1B0E11" w14:textId="0AF7713B" w:rsidR="00036037" w:rsidRDefault="00036037" w:rsidP="004F4D91">
      <w:pPr>
        <w:pStyle w:val="Paragrafoelenco"/>
        <w:spacing w:before="176"/>
        <w:ind w:left="283" w:right="420" w:firstLine="360"/>
        <w:rPr>
          <w:szCs w:val="24"/>
        </w:rPr>
      </w:pPr>
    </w:p>
    <w:p w14:paraId="40825DFE" w14:textId="45AB16A1" w:rsidR="00FF4BA0" w:rsidRDefault="00FF4BA0" w:rsidP="00AD4774">
      <w:pPr>
        <w:spacing w:before="176"/>
        <w:ind w:right="420" w:firstLine="0"/>
        <w:rPr>
          <w:szCs w:val="24"/>
        </w:rPr>
      </w:pPr>
    </w:p>
    <w:p w14:paraId="4F8FEE36" w14:textId="77777777" w:rsidR="00AD4774" w:rsidRPr="00AD4774" w:rsidRDefault="00AD4774" w:rsidP="00AD4774">
      <w:pPr>
        <w:spacing w:before="176"/>
        <w:ind w:right="420" w:firstLine="0"/>
        <w:rPr>
          <w:szCs w:val="24"/>
        </w:rPr>
      </w:pPr>
    </w:p>
    <w:p w14:paraId="388A4793" w14:textId="3691DE94" w:rsidR="00B66622" w:rsidRPr="005B3191" w:rsidRDefault="00B66622" w:rsidP="005B3191">
      <w:pPr>
        <w:pStyle w:val="Titolo1"/>
      </w:pPr>
      <w:bookmarkStart w:id="47" w:name="_Toc215742661"/>
      <w:r>
        <w:t>4. Methodology</w:t>
      </w:r>
      <w:bookmarkEnd w:id="47"/>
    </w:p>
    <w:p w14:paraId="2BE8A593" w14:textId="77777777" w:rsidR="00B66622" w:rsidRPr="00C33B50" w:rsidRDefault="00B66622" w:rsidP="00C33B50">
      <w:pPr>
        <w:pStyle w:val="Titolo2"/>
        <w:ind w:firstLine="283"/>
      </w:pPr>
      <w:bookmarkStart w:id="48" w:name="_Toc215742662"/>
      <w:r w:rsidRPr="00C33B50">
        <w:t>Introduction</w:t>
      </w:r>
      <w:bookmarkEnd w:id="48"/>
    </w:p>
    <w:p w14:paraId="1CCF645E" w14:textId="77777777" w:rsidR="00B66622" w:rsidRPr="00B66622" w:rsidRDefault="00B66622" w:rsidP="00B66622">
      <w:pPr>
        <w:pStyle w:val="Paragrafoelenco"/>
        <w:spacing w:before="176"/>
        <w:ind w:left="283" w:right="420" w:firstLine="360"/>
        <w:rPr>
          <w:szCs w:val="24"/>
        </w:rPr>
      </w:pPr>
      <w:r w:rsidRPr="00B66622">
        <w:rPr>
          <w:szCs w:val="24"/>
        </w:rPr>
        <w:t>This dissertation has illustrated that existing interpretations of Russia’s (dis)engagement in the Nagorno-Karabakh conflict have been primarily shaped by outcome-based analyses. In response, I have argued that an approach focused on meaning-making, specifically on how post-Soviet Russia constructs the significance of its security practices in the South Caucasus for its self-identity, can offer an original perspective to the literature on Russian foreign policy.</w:t>
      </w:r>
    </w:p>
    <w:p w14:paraId="5B4A29E9" w14:textId="77777777" w:rsidR="00B66622" w:rsidRPr="00B66622" w:rsidRDefault="00B66622" w:rsidP="00B66622">
      <w:pPr>
        <w:pStyle w:val="Paragrafoelenco"/>
        <w:spacing w:before="176"/>
        <w:ind w:left="283" w:right="420" w:firstLine="360"/>
        <w:rPr>
          <w:szCs w:val="24"/>
        </w:rPr>
      </w:pPr>
      <w:r w:rsidRPr="00B66622">
        <w:rPr>
          <w:szCs w:val="24"/>
        </w:rPr>
        <w:t>To further develop this argument, I have introduced the concepts of ontological security, collective memory, and honor, emphasizing how their intersection within the prism of a politics of deference pursued by toward its cultural allies in the region constitutes a central pillar of post-Soviet Russia’s self-identity. I have also highlighted that, while such concepts have been explored in analyses of Russia’s pursuit of horizontal relations with the West, the same attention has not been devolved to the Kremlin’s vertical relations with its former periphery. In focusing the analysis on this angle, I have identified the framework of the hero-protector narrative by Sangar et al. (2018) as an analytical tool to capture how the politics of deference is framed within Russia's self-identity.</w:t>
      </w:r>
    </w:p>
    <w:p w14:paraId="4736BF96" w14:textId="77777777" w:rsidR="00B66622" w:rsidRPr="00B66622" w:rsidRDefault="00B66622" w:rsidP="00B66622">
      <w:pPr>
        <w:pStyle w:val="Paragrafoelenco"/>
        <w:spacing w:before="176"/>
        <w:ind w:left="283" w:right="420" w:firstLine="360"/>
        <w:rPr>
          <w:szCs w:val="24"/>
        </w:rPr>
      </w:pPr>
      <w:r w:rsidRPr="00B66622">
        <w:rPr>
          <w:szCs w:val="24"/>
        </w:rPr>
        <w:t>The emerging challenge lies in discerning how the hero-protector narrative is articulated and in identifying the key actors involved in its sustenance. To address this challenge, the chapter outlines the methodological approach used to respond to the research question introduced in the introduction. I will restate it here: This dissertation aims to explore how Russia navigated anxieties concerning its self-image as a benevolent protector within the context of the Nagorno-Karabakh conflict from 2015 to 2024, with particular emphasis on how Russian actors perceived Armenia’s (mis)recognition of this role.</w:t>
      </w:r>
    </w:p>
    <w:p w14:paraId="1A60C592" w14:textId="77777777" w:rsidR="00B66622" w:rsidRPr="00B66622" w:rsidRDefault="00B66622" w:rsidP="00B66622">
      <w:pPr>
        <w:pStyle w:val="Paragrafoelenco"/>
        <w:spacing w:before="176"/>
        <w:ind w:left="283" w:right="420" w:firstLine="360"/>
        <w:rPr>
          <w:szCs w:val="24"/>
        </w:rPr>
      </w:pPr>
      <w:r w:rsidRPr="00B66622">
        <w:rPr>
          <w:szCs w:val="24"/>
        </w:rPr>
        <w:t>In structuring this chapter, I am following the research design framework created by Mark Saunders et al. (2019), also known as the “research onion”. The latter directs researchers from general conceptual decisions to detailed data collection and analysis methods using a layered model. The six layers, as it is possible to see below, consist of research philosophy, approach, strategy, choices, time horizons, and techniques and procedures. Each layer impacts the decisions in the inner layers, ensuring consistency and coherence in the methodology.</w:t>
      </w:r>
    </w:p>
    <w:p w14:paraId="2B7D2B12" w14:textId="77777777" w:rsidR="001C5F72" w:rsidRDefault="006D6A7D" w:rsidP="001C5F72">
      <w:pPr>
        <w:pStyle w:val="Paragrafoelenco"/>
        <w:keepNext/>
        <w:spacing w:before="176"/>
        <w:ind w:left="283" w:right="420" w:firstLine="360"/>
        <w:jc w:val="center"/>
      </w:pPr>
      <w:r>
        <w:rPr>
          <w:noProof/>
        </w:rPr>
        <w:drawing>
          <wp:inline distT="0" distB="0" distL="0" distR="0" wp14:anchorId="226A162A" wp14:editId="4C8BB8A5">
            <wp:extent cx="4760686" cy="3616290"/>
            <wp:effectExtent l="0" t="0" r="1905" b="3810"/>
            <wp:docPr id="195825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02" name=""/>
                    <pic:cNvPicPr/>
                  </pic:nvPicPr>
                  <pic:blipFill>
                    <a:blip r:embed="rId12">
                      <a:extLst>
                        <a:ext uri="{28A0092B-C50C-407E-A947-70E740481C1C}">
                          <a14:useLocalDpi xmlns:a14="http://schemas.microsoft.com/office/drawing/2010/main"/>
                        </a:ext>
                      </a:extLst>
                    </a:blip>
                    <a:stretch>
                      <a:fillRect/>
                    </a:stretch>
                  </pic:blipFill>
                  <pic:spPr>
                    <a:xfrm>
                      <a:off x="0" y="0"/>
                      <a:ext cx="4770898" cy="3624047"/>
                    </a:xfrm>
                    <a:prstGeom prst="rect">
                      <a:avLst/>
                    </a:prstGeom>
                  </pic:spPr>
                </pic:pic>
              </a:graphicData>
            </a:graphic>
          </wp:inline>
        </w:drawing>
      </w:r>
    </w:p>
    <w:p w14:paraId="72FDBEC8" w14:textId="7EFDE03F" w:rsidR="00B66622" w:rsidRPr="001C5F72" w:rsidRDefault="001C5F72" w:rsidP="001C5F72">
      <w:pPr>
        <w:pStyle w:val="Didascalia"/>
        <w:jc w:val="center"/>
        <w:rPr>
          <w:color w:val="auto"/>
          <w:sz w:val="20"/>
          <w:szCs w:val="20"/>
        </w:rPr>
      </w:pPr>
      <w:bookmarkStart w:id="49" w:name="_Toc215742697"/>
      <w:r w:rsidRPr="001C5F72">
        <w:rPr>
          <w:color w:val="auto"/>
          <w:sz w:val="20"/>
          <w:szCs w:val="20"/>
        </w:rPr>
        <w:t xml:space="preserve">Figure </w:t>
      </w:r>
      <w:r w:rsidRPr="001C5F72">
        <w:rPr>
          <w:color w:val="auto"/>
          <w:sz w:val="20"/>
          <w:szCs w:val="20"/>
        </w:rPr>
        <w:fldChar w:fldCharType="begin"/>
      </w:r>
      <w:r w:rsidRPr="001C5F72">
        <w:rPr>
          <w:color w:val="auto"/>
          <w:sz w:val="20"/>
          <w:szCs w:val="20"/>
        </w:rPr>
        <w:instrText xml:space="preserve"> SEQ Figure \* ARABIC </w:instrText>
      </w:r>
      <w:r w:rsidRPr="001C5F72">
        <w:rPr>
          <w:color w:val="auto"/>
          <w:sz w:val="20"/>
          <w:szCs w:val="20"/>
        </w:rPr>
        <w:fldChar w:fldCharType="separate"/>
      </w:r>
      <w:r w:rsidR="003A2B4A">
        <w:rPr>
          <w:noProof/>
          <w:color w:val="auto"/>
          <w:sz w:val="20"/>
          <w:szCs w:val="20"/>
        </w:rPr>
        <w:t>2</w:t>
      </w:r>
      <w:r w:rsidRPr="001C5F72">
        <w:rPr>
          <w:color w:val="auto"/>
          <w:sz w:val="20"/>
          <w:szCs w:val="20"/>
        </w:rPr>
        <w:fldChar w:fldCharType="end"/>
      </w:r>
      <w:r w:rsidRPr="001C5F72">
        <w:rPr>
          <w:color w:val="auto"/>
          <w:sz w:val="20"/>
          <w:szCs w:val="20"/>
        </w:rPr>
        <w:t>: The “Research Onion” (Source:  Saunders et al. 2019)</w:t>
      </w:r>
      <w:bookmarkEnd w:id="49"/>
    </w:p>
    <w:p w14:paraId="16E298E4" w14:textId="397F706B" w:rsidR="006D6A7D" w:rsidRPr="006D6A7D" w:rsidRDefault="006D6A7D" w:rsidP="00C33B50">
      <w:pPr>
        <w:pStyle w:val="Titolo2"/>
        <w:ind w:firstLine="283"/>
      </w:pPr>
      <w:bookmarkStart w:id="50" w:name="_Toc215742663"/>
      <w:r>
        <w:t xml:space="preserve">4.1. Research </w:t>
      </w:r>
      <w:r w:rsidR="00031E6D">
        <w:t>P</w:t>
      </w:r>
      <w:r>
        <w:t>hilosophy</w:t>
      </w:r>
      <w:bookmarkEnd w:id="50"/>
      <w:r>
        <w:t xml:space="preserve"> </w:t>
      </w:r>
    </w:p>
    <w:p w14:paraId="47DB33A9" w14:textId="109DF592" w:rsidR="00B66622" w:rsidRPr="00B66622" w:rsidRDefault="00B66622" w:rsidP="00B66622">
      <w:pPr>
        <w:pStyle w:val="Paragrafoelenco"/>
        <w:spacing w:before="176"/>
        <w:ind w:left="283" w:right="420" w:firstLine="360"/>
        <w:rPr>
          <w:szCs w:val="24"/>
        </w:rPr>
      </w:pPr>
      <w:r w:rsidRPr="00B66622">
        <w:rPr>
          <w:szCs w:val="24"/>
        </w:rPr>
        <w:t xml:space="preserve">When beginning a research project, it is often tempting for the researcher to jump straight into methodological questions and investigate the findings. However, before making these decisions, </w:t>
      </w:r>
      <w:r w:rsidR="006D6A7D">
        <w:rPr>
          <w:szCs w:val="24"/>
        </w:rPr>
        <w:t>the researcher needs to step</w:t>
      </w:r>
      <w:r w:rsidRPr="00B66622">
        <w:rPr>
          <w:szCs w:val="24"/>
        </w:rPr>
        <w:t xml:space="preserve"> back and consider the broader context: What is the overarching research philosophy behind their study?</w:t>
      </w:r>
    </w:p>
    <w:p w14:paraId="3F59A6AC" w14:textId="77777777" w:rsidR="00B66622" w:rsidRPr="00B66622" w:rsidRDefault="00B66622" w:rsidP="00B66622">
      <w:pPr>
        <w:pStyle w:val="Paragrafoelenco"/>
        <w:spacing w:before="176"/>
        <w:ind w:left="283" w:right="420" w:firstLine="360"/>
        <w:rPr>
          <w:szCs w:val="24"/>
        </w:rPr>
      </w:pPr>
      <w:r w:rsidRPr="00B66622">
        <w:rPr>
          <w:szCs w:val="24"/>
        </w:rPr>
        <w:t>Research philosophy constitutes a foundational set of beliefs and values that shape how researchers formulate their questions, select suitable methods, and interpret their findings, thereby guiding the overarching trajectory and coherence of the research process (Crotty 2015).  According to Corbetta (2003, 12–13), within social sciences these philosophies are typically delineated by three core pillars: an ontological base that explores the nature of reality; an epistemological base that concerns the ways in which knowledge about that reality can be obtained and understood; and a methodological base that encompasses the specific techniques and procedures employed to investigate and analyze phenomena. Since I am using Saunders et al.'s (2019) structure as the primary outline for this chapter, I will first explore ontology and epistemology before moving on to discuss the other layers, including the choice of research methods.</w:t>
      </w:r>
    </w:p>
    <w:p w14:paraId="6D5BEAE0" w14:textId="77777777" w:rsidR="00B66622" w:rsidRPr="00B66622" w:rsidRDefault="00B66622" w:rsidP="00B66622">
      <w:pPr>
        <w:pStyle w:val="Paragrafoelenco"/>
        <w:spacing w:before="176"/>
        <w:ind w:left="283" w:right="420" w:firstLine="360"/>
        <w:rPr>
          <w:szCs w:val="24"/>
        </w:rPr>
      </w:pPr>
      <w:r w:rsidRPr="00B66622">
        <w:rPr>
          <w:szCs w:val="24"/>
        </w:rPr>
        <w:t xml:space="preserve">Examining the initial dictionary definitions of the term, ontology is described either as “a particular theory about the nature of being or the kinds of things that have existence” or as “a branch of metaphysics concerned with the nature and relations of being” (Merriam-Webster n.d.). However, in philosophical contexts, especially relating to research philosophy, ontology can be simply viewed as the fundamental beliefs about the nature of reality, or, as Hay (2011, 169) writes, “what’s out there to know about?” In fact, questions of ontology pertain to whether reality exists independently of human perception and understanding, or whether it is inherently shaped by our cognitive and social processes (Bryman 2012, 33). </w:t>
      </w:r>
    </w:p>
    <w:p w14:paraId="7A4E7DC5" w14:textId="77777777" w:rsidR="00B66622" w:rsidRPr="00B66622" w:rsidRDefault="00B66622" w:rsidP="00B66622">
      <w:pPr>
        <w:pStyle w:val="Paragrafoelenco"/>
        <w:spacing w:before="176"/>
        <w:ind w:left="283" w:right="420" w:firstLine="360"/>
        <w:rPr>
          <w:szCs w:val="24"/>
        </w:rPr>
      </w:pPr>
      <w:r w:rsidRPr="00B66622">
        <w:rPr>
          <w:szCs w:val="24"/>
        </w:rPr>
        <w:t xml:space="preserve">Ontology can be approached from either an “objectivist” or a “constructionist” perspective . Objectivism embraces the assumptions of the natural sciences, asserting that social reality is external to and independent of us and other social actors (Bryman 2012, 33). An objectivist researcher believes that there is a single, objective social reality that is universally experienced by all social actors and that their interpretations and experiences do not influence the existence of the social world (Saunders et al. 2019, 135). </w:t>
      </w:r>
    </w:p>
    <w:p w14:paraId="303BEC13" w14:textId="77777777" w:rsidR="00B66622" w:rsidRPr="00B66622" w:rsidRDefault="00B66622" w:rsidP="00B66622">
      <w:pPr>
        <w:pStyle w:val="Paragrafoelenco"/>
        <w:spacing w:before="176"/>
        <w:ind w:left="283" w:right="420" w:firstLine="360"/>
        <w:rPr>
          <w:szCs w:val="24"/>
        </w:rPr>
      </w:pPr>
      <w:r w:rsidRPr="00B66622">
        <w:rPr>
          <w:szCs w:val="24"/>
        </w:rPr>
        <w:t>Instead, constructionism posits that reality is created through social interactions, and that social actors collaboratively generate shared meanings and understandings. In essence, reality is constructed intersubjectively (Saunders et al. 2019, 137). Unlike objectivist researchers, who seek to uncover universal facts and laws that govern social behavior, constructionists focus on examining specific situations in depth. They consider historical, geographical, and socio-cultural contexts to gain a nuanced understanding of what is happening and how different realities are experienced (Saunders et al. 2019, 137).</w:t>
      </w:r>
    </w:p>
    <w:p w14:paraId="05DC51F9" w14:textId="77777777" w:rsidR="00B66622" w:rsidRPr="00B66622" w:rsidRDefault="00B66622" w:rsidP="00B66622">
      <w:pPr>
        <w:pStyle w:val="Paragrafoelenco"/>
        <w:spacing w:before="176"/>
        <w:ind w:left="283" w:right="420" w:firstLine="360"/>
        <w:rPr>
          <w:szCs w:val="24"/>
        </w:rPr>
      </w:pPr>
      <w:r w:rsidRPr="00B66622">
        <w:rPr>
          <w:szCs w:val="24"/>
        </w:rPr>
        <w:t>If ontology pertains to the nature of reality, epistemology concerns how the researcher can acquire or justify knowledge about that reality (Ylönen &amp; Aven 2023, 592). As Bryman (2012, 27) articulates, the central epistemological question revolves around determining what constitutes acceptable knowledge within a discipline, what knowledge should be, and whether the social world can and should be investigated using the same principles, methods, and standards as the natural sciences. From an objectivist perspective, knowledge is obtained through observation, measurement, and empirical evidence. Instead, constructionist epistemology emphasizes that knowledge is co-created through social interactions and shared meanings, highlighting the interpretive and socially constructed nature of understanding (Della Porta &amp; Keating 2008, 23).</w:t>
      </w:r>
    </w:p>
    <w:p w14:paraId="7041725B" w14:textId="77777777" w:rsidR="00B66622" w:rsidRPr="00B66622" w:rsidRDefault="00B66622" w:rsidP="00B66622">
      <w:pPr>
        <w:pStyle w:val="Paragrafoelenco"/>
        <w:spacing w:before="176"/>
        <w:ind w:left="283" w:right="420" w:firstLine="360"/>
        <w:rPr>
          <w:szCs w:val="24"/>
        </w:rPr>
      </w:pPr>
      <w:r w:rsidRPr="00B66622">
        <w:rPr>
          <w:szCs w:val="24"/>
        </w:rPr>
        <w:t xml:space="preserve">Considering both the ontological and epistemological dimensions, various research philosophies present distinct perspectives on the nature of reality, the acquisition of knowledge, and the interplay between the two. Positivism, as exemplified by the work of Comte, Spencer, and Durkheim, posits that social sciences are largely comparable to the natural sciences. It views the world as an objective entity existing independently of the observer’s mind, and, in theory, it is fully comprehensible (Della Porta &amp; Keating 2008, 23). Therefore, the role of the researcher is to describe and analyze this reality. </w:t>
      </w:r>
    </w:p>
    <w:p w14:paraId="13A9FEAB" w14:textId="1B44C9BA" w:rsidR="006D6A7D" w:rsidRDefault="00B66622" w:rsidP="00B66622">
      <w:pPr>
        <w:pStyle w:val="Paragrafoelenco"/>
        <w:spacing w:before="176"/>
        <w:ind w:left="283" w:right="420" w:firstLine="360"/>
        <w:rPr>
          <w:szCs w:val="24"/>
        </w:rPr>
      </w:pPr>
      <w:r w:rsidRPr="00B66622">
        <w:rPr>
          <w:szCs w:val="24"/>
        </w:rPr>
        <w:t>Interpretivism focuses on understanding what “a thing ‘is’ by learning what it does, how particular people use it, in particular contexts” (Schwartz-Shea and Yanow 2012, 23). It draws on diverse intellectual traditions, including the hermeneutic and phenomenological traditions, symbolic interactionism, and Weber’s concept of “Verstehen” (Bryman 2012, 30)</w:t>
      </w:r>
      <w:r w:rsidR="006D6A7D">
        <w:rPr>
          <w:szCs w:val="24"/>
        </w:rPr>
        <w:t>.</w:t>
      </w:r>
      <w:r w:rsidR="001C6076">
        <w:rPr>
          <w:rStyle w:val="Rimandonotaapidipagina"/>
          <w:szCs w:val="24"/>
        </w:rPr>
        <w:footnoteReference w:id="10"/>
      </w:r>
      <w:r w:rsidR="001A7DBD">
        <w:rPr>
          <w:szCs w:val="24"/>
        </w:rPr>
        <w:t xml:space="preserve"> </w:t>
      </w:r>
      <w:r w:rsidR="001A7DBD">
        <w:rPr>
          <w:rStyle w:val="Rimandonotaapidipagina"/>
          <w:szCs w:val="24"/>
        </w:rPr>
        <w:footnoteReference w:id="11"/>
      </w:r>
      <w:r w:rsidR="001A7DBD">
        <w:rPr>
          <w:szCs w:val="24"/>
        </w:rPr>
        <w:t xml:space="preserve"> </w:t>
      </w:r>
      <w:r w:rsidR="001A7DBD">
        <w:rPr>
          <w:rStyle w:val="Rimandonotaapidipagina"/>
          <w:szCs w:val="24"/>
        </w:rPr>
        <w:footnoteReference w:id="12"/>
      </w:r>
      <w:r w:rsidR="001A7DBD">
        <w:rPr>
          <w:szCs w:val="24"/>
        </w:rPr>
        <w:t xml:space="preserve"> </w:t>
      </w:r>
      <w:r w:rsidR="001A7DBD">
        <w:rPr>
          <w:rStyle w:val="Rimandonotaapidipagina"/>
          <w:szCs w:val="24"/>
        </w:rPr>
        <w:footnoteReference w:id="13"/>
      </w:r>
    </w:p>
    <w:p w14:paraId="19CCF00B" w14:textId="4C5C8012" w:rsidR="00B66622" w:rsidRPr="00B66622" w:rsidRDefault="00B66622" w:rsidP="00B66622">
      <w:pPr>
        <w:pStyle w:val="Paragrafoelenco"/>
        <w:spacing w:before="176"/>
        <w:ind w:left="283" w:right="420" w:firstLine="360"/>
        <w:rPr>
          <w:szCs w:val="24"/>
        </w:rPr>
      </w:pPr>
      <w:r w:rsidRPr="00B66622">
        <w:rPr>
          <w:szCs w:val="24"/>
        </w:rPr>
        <w:t>Interpretivism reflects the position of scholars critical of applying the scientific model to the study of the social world, emphasizing that a research strategy must recognize the fundamental differences between human beings and the objects studied in the natural sciences (Bryman 2012, 30). Moreover, in interpretivist methodologies, flexible approaches are common, with an emphasis on understanding social phenomena without fixed hypotheses, variables, or sampling strategies (Yanow &amp; Schwartz-Shea 2012, 3).</w:t>
      </w:r>
    </w:p>
    <w:p w14:paraId="66218786" w14:textId="77777777" w:rsidR="00B66622" w:rsidRPr="00B66622" w:rsidRDefault="00B66622" w:rsidP="00B66622">
      <w:pPr>
        <w:pStyle w:val="Paragrafoelenco"/>
        <w:spacing w:before="176"/>
        <w:ind w:left="283" w:right="420" w:firstLine="360"/>
        <w:rPr>
          <w:szCs w:val="24"/>
        </w:rPr>
      </w:pPr>
      <w:r w:rsidRPr="00B66622">
        <w:rPr>
          <w:szCs w:val="24"/>
        </w:rPr>
        <w:t>An important difference with positivists scholars is that interpretivist researchers do not treat data as something that can be objectively gathered or analyzed as inherently true (Yanow 2014). Interpretivist scholars challenge the value of knowledge that claims to be universal or detached from its context. This does not imply that interpretive researchers avoid theorizing. Instead, they build theories grounded in knowledge that clearly connects to specific people in particular historical and cultural settings (Yanow &amp; Schwartz-Shea 2012, 47).</w:t>
      </w:r>
    </w:p>
    <w:p w14:paraId="2F58FBFE" w14:textId="77777777" w:rsidR="00B66622" w:rsidRPr="00B66622" w:rsidRDefault="00B66622" w:rsidP="00B66622">
      <w:pPr>
        <w:pStyle w:val="Paragrafoelenco"/>
        <w:spacing w:before="176"/>
        <w:ind w:left="283" w:right="420" w:firstLine="360"/>
        <w:rPr>
          <w:szCs w:val="24"/>
        </w:rPr>
      </w:pPr>
      <w:r w:rsidRPr="00B66622">
        <w:rPr>
          <w:szCs w:val="24"/>
        </w:rPr>
        <w:t xml:space="preserve">While generalizability is a central concern in positivist methodologies, as researchers are expected to demonstrate that their findings apply beyond the immediate study, either broadly or within defined scope conditions, interpretive research traditions shift the focus toward contextualization (Yanow &amp; Schwartz-Shea 2012, 47). Therefore, interpretivism places the responsibility for applying findings to new settings on the reader, not the researcher. As Yanow (2014) points out, data in interpretive research are not the people, events, conversations, settings, actions, or even documents themselves, but rather the researcher’s interpretation of these elements as reflected in their notes. It is the reader who must judge whether the insights are relevant or transferable to other contexts (Yanow &amp; Schwartz-Shea 2012, 47). </w:t>
      </w:r>
    </w:p>
    <w:p w14:paraId="03C810B9" w14:textId="77777777" w:rsidR="00B66622" w:rsidRPr="00B66622" w:rsidRDefault="00B66622" w:rsidP="00B66622">
      <w:pPr>
        <w:pStyle w:val="Paragrafoelenco"/>
        <w:spacing w:before="176"/>
        <w:ind w:left="283" w:right="420" w:firstLine="360"/>
        <w:rPr>
          <w:szCs w:val="24"/>
        </w:rPr>
      </w:pPr>
      <w:r w:rsidRPr="00B66622">
        <w:rPr>
          <w:szCs w:val="24"/>
        </w:rPr>
        <w:t>Positioned between positivism and interpretivism, although it aligns more closely with the latter, is the concept of pragmatism. For pragmatists, a theory is true if and only if it is useful. They are not concerned with uncovering the essential and timeless truths that positivists and logical empiricists seek (Goldkuhl 2004). The roots of pragmatism can be traced to thinkers like John Dewey and Charles Peirce (Wicks &amp; Freeman 1998). While it is fundamentally empirical, it "goes beyond a pure orientation to observation of a given reality" and instead focuses on "a prospective not yet realized world" (Goldkuhl 2004, 13). In pragmatism, the significance of an idea or concept is grasped by examining its real-world effects (Goldkuhl 2012, 139). Consequently, pragmatism sets itself apart from other philosophical perspectives by asserting that action should precede theory or understanding, as true knowledge can only be gained through practical engagement (Goldkuhl 2012, 139).</w:t>
      </w:r>
    </w:p>
    <w:p w14:paraId="2D364DB1" w14:textId="77777777" w:rsidR="00B66622" w:rsidRPr="00B66622" w:rsidRDefault="00B66622" w:rsidP="00B66622">
      <w:pPr>
        <w:pStyle w:val="Paragrafoelenco"/>
        <w:spacing w:before="176"/>
        <w:ind w:left="283" w:right="420" w:firstLine="360"/>
        <w:rPr>
          <w:szCs w:val="24"/>
        </w:rPr>
      </w:pPr>
      <w:r w:rsidRPr="00B66622">
        <w:rPr>
          <w:szCs w:val="24"/>
        </w:rPr>
        <w:t xml:space="preserve">Overall, my study adopts an interpretivist research philosophy. This choice reflects the nature of the protector image that Russia constructs and mobilizes within the context of the Nagorno-Karabakh conflict and its relationship with Armenia. Rather than seeking to uncover universal laws or focusing solely on the outcomes of Russian practices in the conflict, my aim is to understand the processes of meaning-making embedded in discourse surrounding these practices. By adopting an interpretivist perspective, I treat the protector image not as an objective fact or a purely pragmatic instrument, but as a narrative shaped by memory, context, and intersubjective understanding. </w:t>
      </w:r>
    </w:p>
    <w:p w14:paraId="174F59E4" w14:textId="77777777" w:rsidR="00B66622" w:rsidRPr="00B66622" w:rsidRDefault="00B66622" w:rsidP="00B66622">
      <w:pPr>
        <w:pStyle w:val="Paragrafoelenco"/>
        <w:spacing w:before="176"/>
        <w:ind w:left="283" w:right="420" w:firstLine="360"/>
        <w:rPr>
          <w:szCs w:val="24"/>
        </w:rPr>
      </w:pPr>
      <w:r w:rsidRPr="00B66622">
        <w:rPr>
          <w:szCs w:val="24"/>
        </w:rPr>
        <w:t>If I adopted a positivist philosophy, my research would focus on the idea that Russia’s involvement in the South Caucasus is an objective social reality measurable through observable indicators like peacekeeper deployments treaties or aid. I would develop hypotheses to test whether Russian actions are statistically related to conflict outcomes or Armenia’s alignment. However, this approach would miss how the protector image is also shaped by collective memory and perceptions. For example, Russia’s interventions or lack thereof such as not intervening during the 2020 war or in subsequent conflicts are important for understanding how the protector narrative is connected to its politics of deference toward Armenia. If I adopted a pragmatist perspective, I would look at the practical outcomes of Russia’s protector narratives asking whether this rhetoric helps maintain Armenian loyalty or influence. While emphasizing what works in practice, this approach might overlook how the protector image is also used during times of stability and positive relations, which are essential for understanding its role in Russia’s politics of deference toward Armenia.</w:t>
      </w:r>
    </w:p>
    <w:p w14:paraId="7B9BAE93" w14:textId="0636F9B6" w:rsidR="006D6A7D" w:rsidRPr="00E24034" w:rsidRDefault="006D6A7D" w:rsidP="00C33B50">
      <w:pPr>
        <w:pStyle w:val="Titolo2"/>
        <w:ind w:firstLine="283"/>
      </w:pPr>
      <w:bookmarkStart w:id="51" w:name="_Toc215742664"/>
      <w:r>
        <w:t xml:space="preserve">4.2.Approach to </w:t>
      </w:r>
      <w:r w:rsidR="00031E6D">
        <w:t>T</w:t>
      </w:r>
      <w:r>
        <w:t xml:space="preserve">heory </w:t>
      </w:r>
      <w:r w:rsidR="00031E6D">
        <w:t>D</w:t>
      </w:r>
      <w:r>
        <w:t>evelopment</w:t>
      </w:r>
      <w:bookmarkEnd w:id="51"/>
    </w:p>
    <w:p w14:paraId="3C8D410C" w14:textId="77777777" w:rsidR="00B66622" w:rsidRPr="00B66622" w:rsidRDefault="00B66622" w:rsidP="00B66622">
      <w:pPr>
        <w:pStyle w:val="Paragrafoelenco"/>
        <w:spacing w:before="176"/>
        <w:ind w:left="283" w:right="420" w:firstLine="360"/>
        <w:rPr>
          <w:szCs w:val="24"/>
        </w:rPr>
      </w:pPr>
      <w:r w:rsidRPr="00B66622">
        <w:rPr>
          <w:szCs w:val="24"/>
        </w:rPr>
        <w:t>Once clarified the ontological and epistemological premises of this study, I need to reflect on how my research approach aligns with these philosophical assumptions. Specifically, I should consider whether my study primarily aims to test existing theories or to develop new ones, as this significantly influences the research design (Saunders et al. 2019, 152). This distinction is typically characterized by three different approaches to reasoning: deductive, inductive, and abductive.</w:t>
      </w:r>
    </w:p>
    <w:p w14:paraId="12053B56" w14:textId="77777777" w:rsidR="00B66622" w:rsidRPr="00B66622" w:rsidRDefault="00B66622" w:rsidP="00B66622">
      <w:pPr>
        <w:pStyle w:val="Paragrafoelenco"/>
        <w:spacing w:before="176"/>
        <w:ind w:left="283" w:right="420" w:firstLine="360"/>
        <w:rPr>
          <w:szCs w:val="24"/>
        </w:rPr>
      </w:pPr>
      <w:r w:rsidRPr="00B66622">
        <w:rPr>
          <w:szCs w:val="24"/>
        </w:rPr>
        <w:t xml:space="preserve">If the researcher begins with a theory often derived from reviewing academic literature and then designs a research strategy to test that theory, they are employing a deductive approach (Saunders et al. 2019, 153). Blaikie (2010) describes the deductive approach as a process that unfolds through a series of six sequential steps rooted in positivist tradition. It begins with formulating a tentative idea, premise, or hypothesis concerning the relationship between two or more concepts or variables. This involves leveraging existing literature or specifying the conditions under which the theory is expected to hold, allowing the researcher to deduce testable propositions or hypotheses. </w:t>
      </w:r>
    </w:p>
    <w:p w14:paraId="6DC1FAC7" w14:textId="77777777" w:rsidR="00B66622" w:rsidRPr="00B66622" w:rsidRDefault="00B66622" w:rsidP="00B66622">
      <w:pPr>
        <w:pStyle w:val="Paragrafoelenco"/>
        <w:spacing w:before="176"/>
        <w:ind w:left="283" w:right="420" w:firstLine="360"/>
        <w:rPr>
          <w:szCs w:val="24"/>
        </w:rPr>
      </w:pPr>
      <w:r w:rsidRPr="00B66622">
        <w:rPr>
          <w:szCs w:val="24"/>
        </w:rPr>
        <w:t>The next step is to examine the premises and the underlying logic that led to them, comparing this reasoning with existing theories to determine whether it offers an advancement in understanding. If it does, the process proceeds to testing the premises by collecting appropriate data to measure the relevant concepts or variables and analyzing this data. Should the analysis produce results that are not consistent with the initial premises, the theory is deemed false and must either be rejected or modified, prompting a restart of the process. Conversely, if the results are consistent with the premises, then the theory is considered corroborated.</w:t>
      </w:r>
    </w:p>
    <w:p w14:paraId="45BE8866" w14:textId="77777777" w:rsidR="00B66622" w:rsidRPr="00B66622" w:rsidRDefault="00B66622" w:rsidP="00B66622">
      <w:pPr>
        <w:pStyle w:val="Paragrafoelenco"/>
        <w:spacing w:before="176"/>
        <w:ind w:left="283" w:right="420" w:firstLine="360"/>
        <w:rPr>
          <w:szCs w:val="24"/>
        </w:rPr>
      </w:pPr>
      <w:r w:rsidRPr="00B66622">
        <w:rPr>
          <w:szCs w:val="24"/>
        </w:rPr>
        <w:t xml:space="preserve">Saunders et al. (2019, 153) specify that researchers reasoning deductively must specify precise conditions under which their theory is expected to hold and collect structured, often quantitative, data to test these hypotheses. Concepts must be operationalized to enable accurate measurement, often involving reductionism to simplify complex problems. Additionally, deduction emphasizes careful sampling to ensure that findings can be generalized beyond the specific context, although caution is needed when making broad inferences. </w:t>
      </w:r>
    </w:p>
    <w:p w14:paraId="39837E4E" w14:textId="77777777" w:rsidR="00B66622" w:rsidRPr="00B66622" w:rsidRDefault="00B66622" w:rsidP="00B66622">
      <w:pPr>
        <w:pStyle w:val="Paragrafoelenco"/>
        <w:spacing w:before="176"/>
        <w:ind w:left="283" w:right="420" w:firstLine="360"/>
        <w:rPr>
          <w:szCs w:val="24"/>
        </w:rPr>
      </w:pPr>
      <w:r w:rsidRPr="00B66622">
        <w:rPr>
          <w:szCs w:val="24"/>
        </w:rPr>
        <w:t>When researchers gather data to explore a phenomenon and then develop a theory, such as a conceptual framework, they are employing an inductive approach (Saunders et al. 2019, 153). Inductive reasoning involves a leap from observed evidence to a conclusion, which, while supported by the data, is not guaranteed by strict logic. Instead, its credibility rests on the strength of the supporting evidence (Ketokivi &amp; Mantere 2010). This approach results in theory emerging from the research, with generalizations and theories grounded in observed data.</w:t>
      </w:r>
    </w:p>
    <w:p w14:paraId="04915A98" w14:textId="77777777" w:rsidR="00B66622" w:rsidRPr="00B66622" w:rsidRDefault="00B66622" w:rsidP="00B66622">
      <w:pPr>
        <w:pStyle w:val="Paragrafoelenco"/>
        <w:spacing w:before="176"/>
        <w:ind w:left="283" w:right="420" w:firstLine="360"/>
        <w:rPr>
          <w:szCs w:val="24"/>
        </w:rPr>
      </w:pPr>
      <w:r w:rsidRPr="00B66622">
        <w:rPr>
          <w:szCs w:val="24"/>
        </w:rPr>
        <w:t xml:space="preserve">Finally, when a researcher collects data to investigate a phenomenon, identify themes, and explain patterns with the goal of generating a new theory or refining an existing one, and then tests this theory through further data collection, they are applying an abductive approach (Saunders et al. 2019, 153). Unlike purely deductive methods, which proceed from theory to data, or inductive methods, which move from data to theory, abductive reasoning involves a cyclical process that alternates between the two, effectively integrating deduction and induction (Suddaby 2006). </w:t>
      </w:r>
    </w:p>
    <w:p w14:paraId="574D2E0B" w14:textId="77777777" w:rsidR="00B66622" w:rsidRPr="00B66622" w:rsidRDefault="00B66622" w:rsidP="00B66622">
      <w:pPr>
        <w:pStyle w:val="Paragrafoelenco"/>
        <w:spacing w:before="176"/>
        <w:ind w:left="283" w:right="420" w:firstLine="360"/>
        <w:rPr>
          <w:szCs w:val="24"/>
        </w:rPr>
      </w:pPr>
      <w:r w:rsidRPr="00B66622">
        <w:rPr>
          <w:szCs w:val="24"/>
        </w:rPr>
        <w:t xml:space="preserve">Abductive reasoning begins with a puzzle or anomaly and seeks to clarify it by exploring the conditions that would make the puzzling event seem more ordinary or natural (Yanow &amp; Schwartz-Shea 2012, 27). In this approach, the researcher aims to develop an interpretation that explains the anomaly constituting the puzzle. Engaging with the language, meanings, and perspectives of social actors, the researcher endeavors to understand how they construct their worldview develop a social scientific explanation of the social world as experienced from those perspectives (Bryman 2012, 401). </w:t>
      </w:r>
    </w:p>
    <w:p w14:paraId="46EC3802" w14:textId="77777777" w:rsidR="00B66622" w:rsidRPr="00B66622" w:rsidRDefault="00B66622" w:rsidP="00B66622">
      <w:pPr>
        <w:pStyle w:val="Paragrafoelenco"/>
        <w:spacing w:before="176"/>
        <w:ind w:left="283" w:right="420" w:firstLine="360"/>
        <w:rPr>
          <w:szCs w:val="24"/>
        </w:rPr>
      </w:pPr>
      <w:r w:rsidRPr="00B66622">
        <w:rPr>
          <w:szCs w:val="24"/>
        </w:rPr>
        <w:t>Some important differences between abductive reasoning and inductive/deductive reasoning include the fact that the latter often aim toward general principles or laws derived from specific observations or tested hypotheses, while abduction’s explanations are grounded in the same context as the original puzzle (Yanow &amp; Schwartz-Shea 2012, 27). Additionally, deduction and induction are typically viewed as linear, step-by-step processes, whereas abduction follows a more circular or spiral pattern, involving engagement with multiple pieces of information simultaneously to resolve the puzzle (Yanow &amp; Schwartz-Shea 2012).</w:t>
      </w:r>
    </w:p>
    <w:p w14:paraId="6F2D80A9" w14:textId="77777777" w:rsidR="00B66622" w:rsidRPr="00B66622" w:rsidRDefault="00B66622" w:rsidP="00B66622">
      <w:pPr>
        <w:pStyle w:val="Paragrafoelenco"/>
        <w:spacing w:before="176"/>
        <w:ind w:left="283" w:right="420" w:firstLine="360"/>
        <w:rPr>
          <w:szCs w:val="24"/>
        </w:rPr>
      </w:pPr>
      <w:r w:rsidRPr="00B66622">
        <w:rPr>
          <w:szCs w:val="24"/>
        </w:rPr>
        <w:t>Situated within the research onion, my approach to theory development aligns with the abductive mode of reasoning. Abduction best reflects the interpretivist stance of this dissertation, as it allows for an iterative engagement between existing theoretical concepts and the empirical material under study. Theoretical concepts such as ontological security, honor, and collective memory have already been applied to the study of Russian foreign policy, while the hero-protector narrative framework exists in the wider IR literature, even if it has not yet been used in this field.</w:t>
      </w:r>
    </w:p>
    <w:p w14:paraId="3FADCEBA" w14:textId="77777777" w:rsidR="00B66622" w:rsidRPr="00B66622" w:rsidRDefault="00B66622" w:rsidP="00B66622">
      <w:pPr>
        <w:pStyle w:val="Paragrafoelenco"/>
        <w:spacing w:before="176"/>
        <w:ind w:left="283" w:right="420" w:firstLine="360"/>
        <w:rPr>
          <w:szCs w:val="24"/>
        </w:rPr>
      </w:pPr>
      <w:r w:rsidRPr="00B66622">
        <w:rPr>
          <w:szCs w:val="24"/>
        </w:rPr>
        <w:t xml:space="preserve">What is novel in my research is not the invention of new concepts, but their application to the security dynamics of the South Caucasus and to Russia’s vertical relations with its former imperial periphery, as opposed to the horizontal relations with the West that dominate existing scholarship. A deductive design would be incompatible with my research philosophy, as it would require operationalizing these concepts into measurable variables and testing predefined hypotheses, thereby stripping away the historical and symbolic dimensions central to my analysis. Similarly, a purely inductive strategy would confine theory-building to the empirical level and risk neglecting the valuable conceptual tools already available in the literature. </w:t>
      </w:r>
    </w:p>
    <w:p w14:paraId="09E08ED0" w14:textId="26444764" w:rsidR="00B66622" w:rsidRPr="00B66622" w:rsidRDefault="006D6A7D" w:rsidP="00C33B50">
      <w:pPr>
        <w:pStyle w:val="Titolo2"/>
        <w:ind w:firstLine="283"/>
      </w:pPr>
      <w:bookmarkStart w:id="52" w:name="_Toc215742665"/>
      <w:r>
        <w:t xml:space="preserve">4.3. Research </w:t>
      </w:r>
      <w:r w:rsidR="00031E6D">
        <w:t>S</w:t>
      </w:r>
      <w:r>
        <w:t>trategy</w:t>
      </w:r>
      <w:bookmarkEnd w:id="52"/>
    </w:p>
    <w:p w14:paraId="06D381DB" w14:textId="77777777" w:rsidR="00B66622" w:rsidRPr="00B66622" w:rsidRDefault="00B66622" w:rsidP="00B66622">
      <w:pPr>
        <w:pStyle w:val="Paragrafoelenco"/>
        <w:spacing w:before="176"/>
        <w:ind w:left="283" w:right="420" w:firstLine="360"/>
        <w:rPr>
          <w:szCs w:val="24"/>
        </w:rPr>
      </w:pPr>
      <w:r w:rsidRPr="00B66622">
        <w:rPr>
          <w:szCs w:val="24"/>
        </w:rPr>
        <w:t>Having chosen an interpretivist research philosophy and adopted an abductive approach to theory development, I am now able to refine and specify my research design more clearly. These two elements indicate that my study is fundamentally qualitative in nature. As Yanow (2004) points out, with the rise of interpretivism, the traditional two-part division of social science methods into quantitative and qualitative approaches has evolved into a three-part framework: quantitative-positivist, qualitative-positivist, and qualitative-interpretive methodologies. Quantitative-positivist explanations primarily rely on correlations, while qualitative-positivist ones focus on causation. In contrast, qualitative-interpretivist approaches aim to understand how individuals make sense of their experiences (Kurowska &amp; de Guevara 2020, 1216).</w:t>
      </w:r>
    </w:p>
    <w:p w14:paraId="7B295C30" w14:textId="77777777" w:rsidR="00B66622" w:rsidRPr="00B66622" w:rsidRDefault="00B66622" w:rsidP="00B66622">
      <w:pPr>
        <w:pStyle w:val="Paragrafoelenco"/>
        <w:spacing w:before="176"/>
        <w:ind w:left="283" w:right="420" w:firstLine="360"/>
        <w:rPr>
          <w:szCs w:val="24"/>
        </w:rPr>
      </w:pPr>
      <w:r w:rsidRPr="00B66622">
        <w:rPr>
          <w:szCs w:val="24"/>
        </w:rPr>
        <w:t>Before I explore whether I will employ one or multiple qualitative methods, it is important to first discuss my overall research strategy. This strategy can be described as a plan that outlines how I intend to address my research question. It functions as the methodological link between my philosophical stance and the subsequent selection of methods for data collection and analysis (Denzin and Lincoln 2018). In assessing suitable research strategies for my aim of resolving the research question, I will focus exclusively on those primarily aligned with a qualitative research design. Among the strategies most frequently encountered in the relevant literature are action research, case studies, ethnography, and grounded theory.</w:t>
      </w:r>
    </w:p>
    <w:p w14:paraId="7CC28F07" w14:textId="77777777" w:rsidR="00B66622" w:rsidRPr="00B66622" w:rsidRDefault="00B66622" w:rsidP="00B66622">
      <w:pPr>
        <w:pStyle w:val="Paragrafoelenco"/>
        <w:spacing w:before="176"/>
        <w:ind w:left="283" w:right="420" w:firstLine="360"/>
        <w:rPr>
          <w:szCs w:val="24"/>
        </w:rPr>
      </w:pPr>
      <w:r w:rsidRPr="00B66622">
        <w:rPr>
          <w:szCs w:val="24"/>
        </w:rPr>
        <w:t xml:space="preserve">Action research is a dynamic and cyclical process of investigation aimed at finding solutions to actual organizational issues through a participatory and collaborative method (Bryman 2012, 397). It draws on various types of knowledge and is intended to impact both the participants and the organization beyond the scope of the research itself (Coghlan 2011; Saunders et al. 2019). It may take various forms, such as the action researcher being hired by a client to address and resolve a specific issue, or working with a group of individuals who need to build their capacity for independent action (Bryman 2012, 397). </w:t>
      </w:r>
    </w:p>
    <w:p w14:paraId="4EF5E778" w14:textId="77777777" w:rsidR="00B66622" w:rsidRPr="00B66622" w:rsidRDefault="00B66622" w:rsidP="00B66622">
      <w:pPr>
        <w:pStyle w:val="Paragrafoelenco"/>
        <w:spacing w:before="176"/>
        <w:ind w:left="283" w:right="420" w:firstLine="360"/>
        <w:rPr>
          <w:szCs w:val="24"/>
        </w:rPr>
      </w:pPr>
      <w:r w:rsidRPr="00B66622">
        <w:rPr>
          <w:szCs w:val="24"/>
        </w:rPr>
        <w:t xml:space="preserve">A case study is a research approach that involves an in-depth empirical examination of one or a few phenomena to understand their configurations and to shed light on a larger class of related phenomena through the development and testing of theoretical explanations (Ragin 2000). A case here should be meant as a phenomenon or event selected, conceptualized, and empirically analyzed as an example of a broader category of similar phenomena or events (Yin 1994; George and Bennett 2005; Vennesson 2008). </w:t>
      </w:r>
    </w:p>
    <w:p w14:paraId="4ABDBE09" w14:textId="77777777" w:rsidR="00B66622" w:rsidRPr="00B66622" w:rsidRDefault="00B66622" w:rsidP="00B66622">
      <w:pPr>
        <w:pStyle w:val="Paragrafoelenco"/>
        <w:spacing w:before="176"/>
        <w:ind w:left="283" w:right="420" w:firstLine="360"/>
        <w:rPr>
          <w:szCs w:val="24"/>
        </w:rPr>
      </w:pPr>
      <w:r w:rsidRPr="00B66622">
        <w:rPr>
          <w:szCs w:val="24"/>
        </w:rPr>
        <w:t xml:space="preserve">Vennesson (2008, 226-7) identifies four important characteristics of case studies. First, a case is not merely an analysis unit or a data point; it is a theoretical category rather than just a data category. Second, the boundaries of a case are not predefined spatially but are determined by the theoretical framework employed by the researcher; these boundaries are the result of specific theoretical choices. Third, the phenomenon studied does not need to be recent; it can be historical. Finally, data collection in case study research can utilize various methods and may include both qualitative and quantitative data. </w:t>
      </w:r>
    </w:p>
    <w:p w14:paraId="6C303822" w14:textId="77777777" w:rsidR="00B66622" w:rsidRPr="00B66622" w:rsidRDefault="00B66622" w:rsidP="00B66622">
      <w:pPr>
        <w:pStyle w:val="Paragrafoelenco"/>
        <w:spacing w:before="176"/>
        <w:ind w:left="283" w:right="420" w:firstLine="360"/>
        <w:rPr>
          <w:szCs w:val="24"/>
        </w:rPr>
      </w:pPr>
      <w:r w:rsidRPr="00B66622">
        <w:rPr>
          <w:szCs w:val="24"/>
        </w:rPr>
        <w:t>According to Gerring (2006), another useful distinction is between idiographic and nomothetic single-case studies. While idiographic studies are purely interpretivist and focus exclusively on providing an in-depth explanation of a single case, nomothetic case studies, although also centered on one case, aim to implicitly and indirectly compare that case to a broader population, thereby emphasizing a tendency toward generalization.</w:t>
      </w:r>
    </w:p>
    <w:p w14:paraId="10E65A87" w14:textId="77777777" w:rsidR="00B66622" w:rsidRPr="00B66622" w:rsidRDefault="00B66622" w:rsidP="00B66622">
      <w:pPr>
        <w:pStyle w:val="Paragrafoelenco"/>
        <w:spacing w:before="176"/>
        <w:ind w:left="283" w:right="420" w:firstLine="360"/>
        <w:rPr>
          <w:szCs w:val="24"/>
        </w:rPr>
      </w:pPr>
      <w:r w:rsidRPr="00B66622">
        <w:rPr>
          <w:szCs w:val="24"/>
        </w:rPr>
        <w:t>Grounded theory has been described as "theory that was derived from data, systematically gathered and analyzed through the research process. In this method, data collection, analysis, and eventual theory stand in close relationship to one another" (Strauss &amp; Corbin 1998, 12). Two key characteristics of grounded theory are its focus on developing theory directly from data and its iterative or recursive nature, meaning that data collection and analysis occur simultaneously and are repeatedly revisited (Bryman 2012, 387). While some scholars view it as a distinct qualitative research method or approach, others see it as a way to generate theory (Bryman 2012, 387). While 'data' typically refers to qualitative information, grounded theory can be applied to various data types (Bryman 2012, 387). Grounded Theory is commonly regarded as employing an inductive or abductive approach (Suddaby 2006).</w:t>
      </w:r>
    </w:p>
    <w:p w14:paraId="702BAF5A" w14:textId="77777777" w:rsidR="00B66622" w:rsidRPr="00B66622" w:rsidRDefault="00B66622" w:rsidP="00B66622">
      <w:pPr>
        <w:pStyle w:val="Paragrafoelenco"/>
        <w:spacing w:before="176"/>
        <w:ind w:left="283" w:right="420" w:firstLine="360"/>
        <w:rPr>
          <w:szCs w:val="24"/>
        </w:rPr>
      </w:pPr>
      <w:r w:rsidRPr="00B66622">
        <w:rPr>
          <w:szCs w:val="24"/>
        </w:rPr>
        <w:t xml:space="preserve">Ethnography is a research approach where the researcher becomes deeply engaged in a social environment over a prolonged period, observing people's behaviors, listening to conversations among individuals and between participants and the researcher, and posing questions to gather insights (Bryman 2012, 711). As one of the earliest forms of qualitative research, ethnography was developed as a method for studying cultures in so-called "primitive" societies that had come under colonial rule. Its purpose was often to aid imperialist control and administration (Saunders et al. 2019, 199). </w:t>
      </w:r>
    </w:p>
    <w:p w14:paraId="56F30661" w14:textId="77777777" w:rsidR="00B66622" w:rsidRPr="00B66622" w:rsidRDefault="00B66622" w:rsidP="00B66622">
      <w:pPr>
        <w:pStyle w:val="Paragrafoelenco"/>
        <w:spacing w:before="176"/>
        <w:ind w:left="283" w:right="420" w:firstLine="360"/>
        <w:rPr>
          <w:szCs w:val="24"/>
        </w:rPr>
      </w:pPr>
      <w:r w:rsidRPr="00B66622">
        <w:rPr>
          <w:szCs w:val="24"/>
        </w:rPr>
        <w:t>Ethnographers study groups interacting in shared spaces, with different strategies emerging due to differing perspectives on objectivity and subjectivity. Realist ethnography aims for factual, objective accounts using quantitative data, portraying observations as impersonal facts. Interpretive ethnography emphasizes multiple subjective meanings, engaging reflexively to understand participants' perspectives, with reports incorporating personal voices and multiple viewpoints. Critical ethnography focuses on power dynamics and advocating for change, often exploring issues like organizational inequality or decision-making, with a goal of promoting social or organizational transformation (Saunders et al. 2019, 200).</w:t>
      </w:r>
    </w:p>
    <w:p w14:paraId="4448ACA7" w14:textId="77777777" w:rsidR="00B66622" w:rsidRPr="00B66622" w:rsidRDefault="00B66622" w:rsidP="00B66622">
      <w:pPr>
        <w:pStyle w:val="Paragrafoelenco"/>
        <w:spacing w:before="176"/>
        <w:ind w:left="283" w:right="420" w:firstLine="360"/>
        <w:rPr>
          <w:szCs w:val="24"/>
        </w:rPr>
      </w:pPr>
      <w:r w:rsidRPr="00B66622">
        <w:rPr>
          <w:szCs w:val="24"/>
        </w:rPr>
        <w:t>Given that the purpose of this dissertation is to gain a contextualized and meaning-oriented understanding of how Russia mobilizes the protector narrative in relation to Armenia and the South Caucasus, an idiographic case study strategy is particularly suited for this task, as it allows for an in-depth exploration of a phenomenon in its specific historical, political, and symbolic setting my interpretivist philosophy and abductive approach. While my primary aim is not to produce broadly generalizable findings, the focus on the symbolic and mnemonic importance of the South Caucasus in Russian collective memory naturally prompts questions about the exclusion of two other regional cultural allies: Abkhazia and South Ossetia. This omission is particularly relevant given the protector-like element that emerges in Russian discourse during conflicts involving these regions and Georgia, especially when Russia intervened militarily. Limiting a more detailed examination of these cases impacts both internal and external validity, particularly in relation to broader patterns of Russia’s self-understanding rooted in memory. I intend to address this gap in future work, revising this dissertation into a monograph after completing my PhD.</w:t>
      </w:r>
    </w:p>
    <w:p w14:paraId="33144E59" w14:textId="77777777" w:rsidR="00B66622" w:rsidRPr="00B66622" w:rsidRDefault="00B66622" w:rsidP="00B66622">
      <w:pPr>
        <w:pStyle w:val="Paragrafoelenco"/>
        <w:spacing w:before="176"/>
        <w:ind w:left="283" w:right="420" w:firstLine="360"/>
        <w:rPr>
          <w:szCs w:val="24"/>
        </w:rPr>
      </w:pPr>
      <w:r w:rsidRPr="00B66622">
        <w:rPr>
          <w:szCs w:val="24"/>
        </w:rPr>
        <w:t xml:space="preserve">Finally, I believe that other qualitative strategies are less compatible with my research aims. Grounded theory, for instance, is designed to generate new theory entirely from data, whereas my study refines and re-contextualizes existing concepts such as ontological security, honor, memory, and the hero-protector narrative. Action research presupposes collaborative problem-solving between researcher and participants, which is not possible in the context of foreign policy discourse. Ethnographic research is designed to capture lived and/or cultural practices within communities. However, since this dissertation focuses on analyzing foreign policy discourse, that is expressed through official speeches media statements and symbolic narratives rather than through direct interactions with individuals, I question whether ethnography is a suitable research strategy in this context. </w:t>
      </w:r>
    </w:p>
    <w:p w14:paraId="2D0E7158" w14:textId="01965055" w:rsidR="00B66622" w:rsidRPr="00B66622" w:rsidRDefault="006D6A7D" w:rsidP="00C33B50">
      <w:pPr>
        <w:pStyle w:val="Titolo2"/>
        <w:ind w:firstLine="283"/>
      </w:pPr>
      <w:bookmarkStart w:id="53" w:name="_Toc215742666"/>
      <w:r>
        <w:t xml:space="preserve">4.4. Methodological </w:t>
      </w:r>
      <w:r w:rsidR="00031E6D">
        <w:t>C</w:t>
      </w:r>
      <w:r>
        <w:t>hoice(s)</w:t>
      </w:r>
      <w:bookmarkEnd w:id="53"/>
    </w:p>
    <w:p w14:paraId="1E1EFB9C" w14:textId="77777777" w:rsidR="00B66622" w:rsidRPr="00B66622" w:rsidRDefault="00B66622" w:rsidP="00B66622">
      <w:pPr>
        <w:pStyle w:val="Paragrafoelenco"/>
        <w:spacing w:before="176"/>
        <w:ind w:left="283" w:right="420" w:firstLine="360"/>
        <w:rPr>
          <w:szCs w:val="24"/>
        </w:rPr>
      </w:pPr>
      <w:r w:rsidRPr="00B66622">
        <w:rPr>
          <w:szCs w:val="24"/>
        </w:rPr>
        <w:t>At this stage, I am ready to determine whether to use a single method, a combination of two or more complementary approaches, or a mixed-methods approach that integrates both qualitative and quantitative techniques.</w:t>
      </w:r>
    </w:p>
    <w:p w14:paraId="25A763D1" w14:textId="77777777" w:rsidR="00B66622" w:rsidRPr="00B66622" w:rsidRDefault="00B66622" w:rsidP="00B66622">
      <w:pPr>
        <w:pStyle w:val="Paragrafoelenco"/>
        <w:spacing w:before="176"/>
        <w:ind w:left="283" w:right="420" w:firstLine="360"/>
        <w:rPr>
          <w:szCs w:val="24"/>
        </w:rPr>
      </w:pPr>
      <w:r w:rsidRPr="00B66622">
        <w:rPr>
          <w:szCs w:val="24"/>
        </w:rPr>
        <w:t xml:space="preserve">Since the research design is qualitative-interpretative, the mixed-methods option can already be excluded. The remaining consideration is whether to adopt a mono-method or a multi-method approach. Unlike quantitative analysis, where specific statistical techniques are chosen based on the data type and the objectives, qualitative analysis does not typically involve a straightforward decision between a “correct” and an “incorrect” method (Saunders et al 2019, 641). </w:t>
      </w:r>
    </w:p>
    <w:p w14:paraId="21AD2218" w14:textId="77777777" w:rsidR="00B66622" w:rsidRPr="00B66622" w:rsidRDefault="00B66622" w:rsidP="00B66622">
      <w:pPr>
        <w:pStyle w:val="Paragrafoelenco"/>
        <w:spacing w:before="176"/>
        <w:ind w:left="283" w:right="420" w:firstLine="360"/>
        <w:rPr>
          <w:szCs w:val="24"/>
        </w:rPr>
      </w:pPr>
      <w:r w:rsidRPr="00B66622">
        <w:rPr>
          <w:szCs w:val="24"/>
        </w:rPr>
        <w:t xml:space="preserve"> According to Saunders et al. (2019), choosing between mono, mixed, or multi-method strategies should be guided by an evaluation of the research goals and objectives, ensuring they align with the researcher's overall philosophy and strategy. Also, it is important to keep in mind that certain qualitative research strategies are linked to a particular or prescriptive methodology. For example, grounded theory has its distinct methodology. Other qualitative research strategies, such as case studies, are less strictly prescriptive.</w:t>
      </w:r>
    </w:p>
    <w:p w14:paraId="0A01AC0B" w14:textId="77777777" w:rsidR="00B66622" w:rsidRPr="00B66622" w:rsidRDefault="00B66622" w:rsidP="00B66622">
      <w:pPr>
        <w:pStyle w:val="Paragrafoelenco"/>
        <w:spacing w:before="176"/>
        <w:ind w:left="283" w:right="420" w:firstLine="360"/>
        <w:rPr>
          <w:szCs w:val="24"/>
        </w:rPr>
      </w:pPr>
      <w:r w:rsidRPr="00B66622">
        <w:rPr>
          <w:szCs w:val="24"/>
        </w:rPr>
        <w:t>When it comes to case studies, a common challenge in determining which methods are most suitable arises due to their designation as both a methodology and a method (Anthony &amp; Jack 2009; Boblin et al. 2013). Additionally, supporters of case study research often advocate for combining both quantitative and qualitative methods within their designs, which further adds to the complexity (Yin 1994; Stake 1995; Merriam 2001). This integration of approaches highlights the flexible and multifaceted nature of case study research, making it a versatile but sometimes confusing methodological choice.</w:t>
      </w:r>
    </w:p>
    <w:p w14:paraId="7D31D3BF" w14:textId="77777777" w:rsidR="00B66622" w:rsidRPr="00B66622" w:rsidRDefault="00B66622" w:rsidP="00B66622">
      <w:pPr>
        <w:pStyle w:val="Paragrafoelenco"/>
        <w:spacing w:before="176"/>
        <w:ind w:left="283" w:right="420" w:firstLine="360"/>
        <w:rPr>
          <w:szCs w:val="24"/>
        </w:rPr>
      </w:pPr>
      <w:r w:rsidRPr="00B66622">
        <w:rPr>
          <w:szCs w:val="24"/>
        </w:rPr>
        <w:t>Research goals and objectives are shaped by the central research question. If we already know that Russia's identity-related anxieties cannot be directly observed through material actions, such as troop deployments, peacekeeping mandates, or treaties, and cannot be measured through quantitative indicators, it is important to recognize that they are primarily perceptible through the language actors use to articulate their self-understandings, mobilize collective memories, and respond to recognition or misrecognition by others.</w:t>
      </w:r>
    </w:p>
    <w:p w14:paraId="7B95379A" w14:textId="77777777" w:rsidR="00B66622" w:rsidRPr="00B66622" w:rsidRDefault="00B66622" w:rsidP="00B66622">
      <w:pPr>
        <w:pStyle w:val="Paragrafoelenco"/>
        <w:spacing w:before="176"/>
        <w:ind w:left="283" w:right="420" w:firstLine="360"/>
        <w:rPr>
          <w:szCs w:val="24"/>
        </w:rPr>
      </w:pPr>
      <w:r w:rsidRPr="00B66622">
        <w:rPr>
          <w:szCs w:val="24"/>
        </w:rPr>
        <w:t>On one hand, I wanted to trace the hero-protector narrative within Russian actors’ discourse and explore how they linked it to the country’s collective memory. On the other hand, I aimed to examine how the way the hero-protector narrative was related to emotions tied to ontological security, honor, and deference, and to understand the importance that Armenia’s misrecognition of Russia’s role as a benevolent protector held for these actors. I believe that, given the complexity of these processes, no single method can fully capture their nuances. Therefore, in this dissertation, I decided to employ a multi-method approach.</w:t>
      </w:r>
    </w:p>
    <w:p w14:paraId="2682FA78" w14:textId="23D3204D" w:rsidR="00B66622" w:rsidRPr="00B66622" w:rsidRDefault="006D6A7D" w:rsidP="00C33B50">
      <w:pPr>
        <w:pStyle w:val="Titolo2"/>
        <w:ind w:firstLine="283"/>
      </w:pPr>
      <w:bookmarkStart w:id="54" w:name="_Toc215742667"/>
      <w:r>
        <w:t xml:space="preserve">4.5. Time </w:t>
      </w:r>
      <w:r w:rsidR="00031E6D">
        <w:t>H</w:t>
      </w:r>
      <w:r>
        <w:t>orizon</w:t>
      </w:r>
      <w:bookmarkEnd w:id="54"/>
      <w:r>
        <w:t xml:space="preserve"> </w:t>
      </w:r>
    </w:p>
    <w:p w14:paraId="09CF9A40" w14:textId="77777777" w:rsidR="00B66622" w:rsidRPr="00B66622" w:rsidRDefault="00B66622" w:rsidP="00B66622">
      <w:pPr>
        <w:pStyle w:val="Paragrafoelenco"/>
        <w:spacing w:before="176"/>
        <w:ind w:left="283" w:right="420" w:firstLine="360"/>
        <w:rPr>
          <w:szCs w:val="24"/>
        </w:rPr>
      </w:pPr>
      <w:r w:rsidRPr="00B66622">
        <w:rPr>
          <w:szCs w:val="24"/>
        </w:rPr>
        <w:t>A key consideration for any researcher when designing a study is whether the research should serve as a “snapshot” of a specific moment or resemble a diary composed of a sequence of snapshots that capture developments over time (Saunders et al. 2019, 2012). This choice also largely depends on the research question. The “snapshot” approach is known as “cross-sectional”, while the diary-like perspective that tracks changes over time is called “longitudinal” (Saunders et al. 2019, 212).</w:t>
      </w:r>
    </w:p>
    <w:p w14:paraId="7C5D35C1" w14:textId="77777777" w:rsidR="00B66622" w:rsidRPr="00B66622" w:rsidRDefault="00B66622" w:rsidP="00B66622">
      <w:pPr>
        <w:pStyle w:val="Paragrafoelenco"/>
        <w:spacing w:before="176"/>
        <w:ind w:left="283" w:right="420" w:firstLine="360"/>
        <w:rPr>
          <w:szCs w:val="24"/>
        </w:rPr>
      </w:pPr>
      <w:r w:rsidRPr="00B66622">
        <w:rPr>
          <w:szCs w:val="24"/>
        </w:rPr>
        <w:t>At first glance, my research question might suggest a longitudinal analysis. However, my focus was on three pivotal junctures in the Armenia–Azerbaijan conflict, each representing moments of major escalation or transformation. My decision to follow a cross-sectional approach was given by the fact that these junctures correspond to key ontological turning points that either reinforced, challenged, or reshaped Russia’s self-perception as Armenia’s protector and security guarantor in the South Caucasus.</w:t>
      </w:r>
    </w:p>
    <w:p w14:paraId="1EE42946" w14:textId="77777777" w:rsidR="00B66622" w:rsidRPr="00B66622" w:rsidRDefault="00B66622" w:rsidP="00B66622">
      <w:pPr>
        <w:pStyle w:val="Paragrafoelenco"/>
        <w:spacing w:before="176"/>
        <w:ind w:left="283" w:right="420" w:firstLine="360"/>
        <w:rPr>
          <w:szCs w:val="24"/>
        </w:rPr>
      </w:pPr>
      <w:r w:rsidRPr="00B66622">
        <w:rPr>
          <w:szCs w:val="24"/>
        </w:rPr>
        <w:t xml:space="preserve">The first is the Four-Day War of April 2016, a brief yet intense confrontation that tested the limits of Russian mediation and its credibility as Armenia’s ally. The second is the 44-day war of 2020, a full-scale conflict that resulted in Armenia’s decisive defeat and exposed the fragility of Russia’s diplomatic and military stance. The third is Azerbaijan’s military operation in Nagorno-Karabakh in 2023, which led to the final collapse of Armenian control over the region and directly undermined Russia’s standing as a security guarantor. Each of these critical junctures comprises moments of escalation surrounded by earlier and subsequent events where Russia’s role within the Armenian-Azerbaijani dispute was articulated and negotiated. </w:t>
      </w:r>
    </w:p>
    <w:p w14:paraId="32101528" w14:textId="77777777" w:rsidR="00B66622" w:rsidRPr="00B66622" w:rsidRDefault="00B66622" w:rsidP="00B66622">
      <w:pPr>
        <w:pStyle w:val="Paragrafoelenco"/>
        <w:spacing w:before="176"/>
        <w:ind w:left="283" w:right="420" w:firstLine="360"/>
        <w:rPr>
          <w:szCs w:val="24"/>
        </w:rPr>
      </w:pPr>
      <w:r w:rsidRPr="00B66622">
        <w:rPr>
          <w:szCs w:val="24"/>
        </w:rPr>
        <w:t>By concentrating on these three moments, I hoped to examine how the hero-protector narrative was produced, narrated, and transformed across different contexts, especially in those in which Russia’s role as a protector was increasingly questioned from the Armenian side. Variations in discourse may involve shifts in terminology as well as changes in the underlying functions of these narratives. Such variations tend to become most apparent at critical turning points, where Russia’s role as a protector is most acutely contested.</w:t>
      </w:r>
    </w:p>
    <w:p w14:paraId="0F9B11DE" w14:textId="6D30017F" w:rsidR="006D6A7D" w:rsidRDefault="006D6A7D" w:rsidP="00C33B50">
      <w:pPr>
        <w:pStyle w:val="Titolo2"/>
        <w:ind w:firstLine="283"/>
      </w:pPr>
      <w:bookmarkStart w:id="55" w:name="_Toc215742668"/>
      <w:r>
        <w:t xml:space="preserve">4.6. Techniques and </w:t>
      </w:r>
      <w:r w:rsidR="00031E6D">
        <w:t>P</w:t>
      </w:r>
      <w:r>
        <w:t>rocedures</w:t>
      </w:r>
      <w:bookmarkEnd w:id="55"/>
      <w:r>
        <w:t xml:space="preserve"> </w:t>
      </w:r>
    </w:p>
    <w:p w14:paraId="5C326914" w14:textId="1EF927C6" w:rsidR="006D6A7D" w:rsidRPr="00E24034" w:rsidRDefault="006D6A7D" w:rsidP="00C33B50">
      <w:pPr>
        <w:pStyle w:val="Titolo3"/>
        <w:ind w:firstLine="283"/>
      </w:pPr>
      <w:bookmarkStart w:id="56" w:name="_Toc215742669"/>
      <w:r>
        <w:t xml:space="preserve">4.6.1. Data </w:t>
      </w:r>
      <w:r w:rsidR="00031E6D">
        <w:t>T</w:t>
      </w:r>
      <w:r>
        <w:t>ype</w:t>
      </w:r>
      <w:bookmarkEnd w:id="56"/>
    </w:p>
    <w:p w14:paraId="2ED7C71B" w14:textId="77777777" w:rsidR="00B66622" w:rsidRPr="00B66622" w:rsidRDefault="00B66622" w:rsidP="00B66622">
      <w:pPr>
        <w:pStyle w:val="Paragrafoelenco"/>
        <w:spacing w:before="176"/>
        <w:ind w:left="283" w:right="420" w:firstLine="360"/>
        <w:rPr>
          <w:szCs w:val="24"/>
        </w:rPr>
      </w:pPr>
      <w:r w:rsidRPr="00B66622">
        <w:rPr>
          <w:szCs w:val="24"/>
        </w:rPr>
        <w:t>In this section, I will outline the types of data collected and the methods used to gather them. As Lamont &amp; Swidler (2014, 14) emphasize, different approaches work best in different contexts, and choosing the most appropriate data collection method depends on the specific research questions and the facts or theories the researcher aims to explore.</w:t>
      </w:r>
    </w:p>
    <w:p w14:paraId="26FE1F6A" w14:textId="77777777" w:rsidR="00B66622" w:rsidRPr="00B66622" w:rsidRDefault="00B66622" w:rsidP="00B66622">
      <w:pPr>
        <w:pStyle w:val="Paragrafoelenco"/>
        <w:spacing w:before="176"/>
        <w:ind w:left="283" w:right="420" w:firstLine="360"/>
        <w:rPr>
          <w:szCs w:val="24"/>
        </w:rPr>
      </w:pPr>
      <w:r w:rsidRPr="00B66622">
        <w:rPr>
          <w:szCs w:val="24"/>
        </w:rPr>
        <w:t xml:space="preserve">In line with my interpretive research design, I was interested in collecting qualitative data. The latter can take various forms (Saunders et al. 2019, 639). For instance, verbal data consist of extended speech, which may be audio recorded or sourced from existing audio or audiovisual materials. These recordings are often transcribed into text but can still be considered verbal data if they maintain their original, verbatim structure. Textual data are collected through interview or observation notes, written diaries, participant accounts, or from various documents. Visual data include drawings, digital images, and videos. </w:t>
      </w:r>
    </w:p>
    <w:p w14:paraId="7E07FFB8" w14:textId="77777777" w:rsidR="00B66622" w:rsidRPr="00B66622" w:rsidRDefault="00B66622" w:rsidP="00B66622">
      <w:pPr>
        <w:pStyle w:val="Paragrafoelenco"/>
        <w:spacing w:before="176"/>
        <w:ind w:left="283" w:right="420" w:firstLine="360"/>
        <w:rPr>
          <w:szCs w:val="24"/>
        </w:rPr>
      </w:pPr>
      <w:r w:rsidRPr="00B66622">
        <w:rPr>
          <w:szCs w:val="24"/>
        </w:rPr>
        <w:t>Since I aimed to explore how Russian actors sustained the legitimacy of the hero-protector narrative during the Nagorno-Karabakh conflict as a means to protect their ontological security, I anticipated that the most relevant material would have primarily consisted of verbal and textual data, with discourse serving as my main focus of inquiry. Although visual data can also serve to illustrate how these actors seek to evoke the hero-protector role through symbolic gestures, it is mainly through discourse that I could most effectively trace Russia's construction of itself as a hero-protector, its victimization of Armenians, and its use of cowards or aggressors as contrast figures through discourse. Discourse also enabled me to understand how Russian actors interpret the policies of Armenian elites, including whether they uphold or contradict the politics of deference.</w:t>
      </w:r>
    </w:p>
    <w:p w14:paraId="13EA2A5C" w14:textId="363C7FAC" w:rsidR="00B66622" w:rsidRPr="00B66622" w:rsidRDefault="006D6A7D" w:rsidP="00C33B50">
      <w:pPr>
        <w:pStyle w:val="Titolo3"/>
        <w:ind w:firstLine="283"/>
      </w:pPr>
      <w:bookmarkStart w:id="57" w:name="_Toc215742670"/>
      <w:r>
        <w:t xml:space="preserve">4.6.2. Data </w:t>
      </w:r>
      <w:r w:rsidR="00031E6D">
        <w:t>Co</w:t>
      </w:r>
      <w:r>
        <w:t>llection</w:t>
      </w:r>
      <w:bookmarkEnd w:id="57"/>
      <w:r>
        <w:t xml:space="preserve"> </w:t>
      </w:r>
    </w:p>
    <w:p w14:paraId="1967D049" w14:textId="77777777" w:rsidR="00B66622" w:rsidRPr="00B66622" w:rsidRDefault="00B66622" w:rsidP="00B66622">
      <w:pPr>
        <w:pStyle w:val="Paragrafoelenco"/>
        <w:spacing w:before="176"/>
        <w:ind w:left="283" w:right="420" w:firstLine="360"/>
        <w:rPr>
          <w:szCs w:val="24"/>
        </w:rPr>
      </w:pPr>
      <w:r w:rsidRPr="00B66622">
        <w:rPr>
          <w:szCs w:val="24"/>
        </w:rPr>
        <w:t xml:space="preserve">In pursuing my inquiry on the Russian Self, I aimed to generate what Weldes (2014, 233) describes as “high data”. The latter are “official or semiofficial sources circulating among elites and from elites to various publics” (Weldes 2014, 233). The reason for doing so was that, even before collecting my data, I expected various discursive texts to provide distinctive takes on Russia’s role in the Nagorno-Karabakh conflict, thereby strengthening the credibility of my empirical analysis. On one hand, I expected that official texts could reflect the state's canonical self-representation, while semi-official channels amplify the affective register and reveal more explicit demands for Armenian recognition of the hero-protector narrative. Although a detailed description of my target population and the reasons for its selection will be provided in the subsequent section, this clarification aims to contextualize and justify the data collection methods employed in this dissertation. Common qualitative and quantitative techniques include structured, semi-structured or open interviews, surveys, document analysis, and field observation (Gray 2004, 129). </w:t>
      </w:r>
    </w:p>
    <w:p w14:paraId="3EAE3139" w14:textId="77777777" w:rsidR="00B66622" w:rsidRPr="00B66622" w:rsidRDefault="00B66622" w:rsidP="00B66622">
      <w:pPr>
        <w:pStyle w:val="Paragrafoelenco"/>
        <w:spacing w:before="176"/>
        <w:ind w:left="283" w:right="420" w:firstLine="360"/>
        <w:rPr>
          <w:szCs w:val="24"/>
        </w:rPr>
      </w:pPr>
      <w:r w:rsidRPr="00B66622">
        <w:rPr>
          <w:szCs w:val="24"/>
        </w:rPr>
        <w:t>While I recognized that field observation and surveys do not directly align with my research objectives, interviews would have been for sure an interesting way to collect data and triangulate with my analysis of Russian discourse. At the initial stage of my PhD, I considered that approaching actors within semi-official discourse for interviews or distributing surveys might have been a more accessible alternative. However, multiple factors led me to conclude that even this approach would be ineffective. Beyond these actors' obvious reluctance to take part in academic interviews, as evidenced by the lack of pertinent publications based on such interactions, I believe that attempting a similar endeavor could have led to criticism within European academia, especially in light of the ongoing unrest brought on by Russia's full-scale invasion of Ukraine. Furthermore, I speculate that these actors may have viewed my attempt to conduct interviews as suspicious because I am an Italian doctoral student affiliated with a Hungarian university.</w:t>
      </w:r>
    </w:p>
    <w:p w14:paraId="3BA33418" w14:textId="77777777" w:rsidR="00B66622" w:rsidRPr="00B66622" w:rsidRDefault="00B66622" w:rsidP="00B66622">
      <w:pPr>
        <w:pStyle w:val="Paragrafoelenco"/>
        <w:spacing w:before="176"/>
        <w:ind w:left="283" w:right="420" w:firstLine="360"/>
        <w:rPr>
          <w:szCs w:val="24"/>
        </w:rPr>
      </w:pPr>
      <w:r w:rsidRPr="00B66622">
        <w:rPr>
          <w:szCs w:val="24"/>
        </w:rPr>
        <w:t>Finally, document analysis is a systematic process used to review and interpret both printed and digital materials. It involves examining various types of data to uncover meaning, deepen understanding, and build empirical knowledge (Strauss &amp; Corbin 1998; Bowen 2009). Documents include texts recorded without direct researcher intervention, such as advertisements, agendas, attendance sheets, meeting minutes, manuals, background documents, books, brochures, diaries, journals, event programs like printed outlines, letters, memos, maps, charts, newspapers, press releases, project proposals, application forms, summaries, scripts for radio and television programs, organizational reports, survey data, and other public records (Bowen 2009, 27). The process entails locating, selecting, evaluating, and synthesizing the information contained within these materials to make sense of them (Labuschagne 2003).</w:t>
      </w:r>
    </w:p>
    <w:p w14:paraId="7F125521" w14:textId="77777777" w:rsidR="00B66622" w:rsidRPr="00B66622" w:rsidRDefault="00B66622" w:rsidP="00B66622">
      <w:pPr>
        <w:pStyle w:val="Paragrafoelenco"/>
        <w:spacing w:before="176"/>
        <w:ind w:left="283" w:right="420" w:firstLine="360"/>
        <w:rPr>
          <w:szCs w:val="24"/>
        </w:rPr>
      </w:pPr>
      <w:r w:rsidRPr="00B66622">
        <w:rPr>
          <w:szCs w:val="24"/>
        </w:rPr>
        <w:t>While some of the sources I am examining, especially at the official level, fit within this definition of documents, most of the sources from the semi-official discourse do not. I am particularly interested in gathering texts, spoken language, or other communicative forms that can be analyzed to understand how the hero-protector is used by Russian actors to construct meaning around their security practices concerning the Nagorno-Karabakh conflict and Armenia. However, what is most important to me in this document analysis technique is the systematic approach to collecting data and capturing the relevant context surrounding these sources. Based on the accessible data sources, in my case digital internet resources, and considering the extent of data that can be analyzed within the scope of the research project, a variety of empirical data can be collected while adhering to certain key considerations (Reisigl &amp; Wodak 2006, 38). According to Reisigl &amp; Wodak (2006, 38), these include focusing on specific political units, relevant time periods linked to significant, and discursive events related to the topic.</w:t>
      </w:r>
    </w:p>
    <w:p w14:paraId="7D58E013" w14:textId="77777777" w:rsidR="00B66622" w:rsidRPr="00B66622" w:rsidRDefault="00B66622" w:rsidP="00B66622">
      <w:pPr>
        <w:pStyle w:val="Paragrafoelenco"/>
        <w:spacing w:before="176"/>
        <w:ind w:left="283" w:right="420" w:firstLine="360"/>
        <w:rPr>
          <w:szCs w:val="24"/>
        </w:rPr>
      </w:pPr>
      <w:r w:rsidRPr="00B66622">
        <w:rPr>
          <w:szCs w:val="24"/>
        </w:rPr>
        <w:t xml:space="preserve">In line with this systematic collection process, I worked in the following way. I conducted targeted keyword searches in Russian across official government websites, state press agencies, and semi-official media channels on Telegram. Initial keywords included “Armenia” (Армения/Armenia), “Nagorno-Karabakh” (Нагорный Карабах/Nagorny-Karabakh), “Pashinyan” (Пашинян/Pashinyan). While doing so, I restricted my searches to the three critical junctures mentioned above (2015–2018, 2020–2022, 2023–2024), ensuring that each period included a balanced mix of official, semi-official, and Armenian/diaspora voices. </w:t>
      </w:r>
    </w:p>
    <w:p w14:paraId="55993A4D" w14:textId="77777777" w:rsidR="00B66622" w:rsidRPr="00B66622" w:rsidRDefault="00B66622" w:rsidP="00B66622">
      <w:pPr>
        <w:pStyle w:val="Paragrafoelenco"/>
        <w:spacing w:before="176"/>
        <w:ind w:left="283" w:right="420" w:firstLine="360"/>
        <w:rPr>
          <w:szCs w:val="24"/>
        </w:rPr>
      </w:pPr>
      <w:r w:rsidRPr="00B66622">
        <w:rPr>
          <w:szCs w:val="24"/>
        </w:rPr>
        <w:t>Initially, I received a vast number of texts, most of which were not directly relevant to tracing the hero-protector narrative. However, guided by the understanding that my research is grounded in the theoretical connection between ontological security, honor, and collective memory, I searched for historically related expressions associated with the protector image, such as “history” (история/istoriya), “common history” (общая история/obshchaya istoriya), “genocide” (геноцид/genotsid), “Russian Empire” (Российская Империя/Rossiyskaya Imperiya), and “First World War” (Первая мировая война/Pervaya mirovaya voyna). Additionally, I supplemented this corpus with excerpts from talk shows, primarily from the Russia-1 TV channel, where many semi-official sources are invited to discuss political issues. These shows are accessible online, often via VPN, which made it straightforward to include them in the corpus.</w:t>
      </w:r>
    </w:p>
    <w:p w14:paraId="725E907C" w14:textId="77777777" w:rsidR="00B66622" w:rsidRPr="00B66622" w:rsidRDefault="00B66622" w:rsidP="00B66622">
      <w:pPr>
        <w:pStyle w:val="Paragrafoelenco"/>
        <w:spacing w:before="176"/>
        <w:ind w:left="283" w:right="420" w:firstLine="360"/>
        <w:rPr>
          <w:szCs w:val="24"/>
        </w:rPr>
      </w:pPr>
      <w:r w:rsidRPr="00B66622">
        <w:rPr>
          <w:szCs w:val="24"/>
        </w:rPr>
        <w:t xml:space="preserve">Overall, I compiled a corpus of around 75 primary texts produced between 2015 and 2024. These texts encompass both official Russian discourse, such as presidential press conferences, statements from the Ministry of Foreign Affairs, and government websites, and semi-official discourse, including pro-Kremlin media outlets, talk shows, Telegram channels, and interventions by prominent Russian-Armenian figures. </w:t>
      </w:r>
    </w:p>
    <w:p w14:paraId="30D9D032" w14:textId="3197962F" w:rsidR="00B66622" w:rsidRPr="00B66622" w:rsidRDefault="006D6A7D" w:rsidP="00C33B50">
      <w:pPr>
        <w:pStyle w:val="Titolo3"/>
        <w:ind w:firstLine="283"/>
      </w:pPr>
      <w:bookmarkStart w:id="58" w:name="_Toc215742671"/>
      <w:r>
        <w:t xml:space="preserve">4.6.3.Sample and </w:t>
      </w:r>
      <w:r w:rsidR="00031E6D">
        <w:t>P</w:t>
      </w:r>
      <w:r>
        <w:t>opulation</w:t>
      </w:r>
      <w:bookmarkEnd w:id="58"/>
      <w:r>
        <w:t xml:space="preserve"> </w:t>
      </w:r>
    </w:p>
    <w:p w14:paraId="2F14DE6A" w14:textId="77777777" w:rsidR="00B66622" w:rsidRPr="00B66622" w:rsidRDefault="00B66622" w:rsidP="00B66622">
      <w:pPr>
        <w:pStyle w:val="Paragrafoelenco"/>
        <w:spacing w:before="176"/>
        <w:ind w:left="283" w:right="420" w:firstLine="360"/>
        <w:rPr>
          <w:szCs w:val="24"/>
        </w:rPr>
      </w:pPr>
      <w:r w:rsidRPr="00B66622">
        <w:rPr>
          <w:szCs w:val="24"/>
        </w:rPr>
        <w:t>It is now necessary to identify the universe of units from which the sample was drawn, that is, the population, and to justify the method used to select the segment of the population for investigation, that is, the sampling technique (Bryman 2012, 187). According to Saunders, sampling depends on factors such as research objectives, the desired level of generalizability, and available resources (Saunders 2019, 319). Given my qualitative interpretive research design, non-probability sampling techniques are an obvious choice. However, they come in various forms.</w:t>
      </w:r>
    </w:p>
    <w:p w14:paraId="4EA55097" w14:textId="77777777" w:rsidR="00B66622" w:rsidRPr="00B66622" w:rsidRDefault="00B66622" w:rsidP="00B66622">
      <w:pPr>
        <w:pStyle w:val="Paragrafoelenco"/>
        <w:spacing w:before="176"/>
        <w:ind w:left="283" w:right="420" w:firstLine="360"/>
        <w:rPr>
          <w:szCs w:val="24"/>
        </w:rPr>
      </w:pPr>
      <w:r w:rsidRPr="00B66622">
        <w:rPr>
          <w:szCs w:val="24"/>
        </w:rPr>
        <w:t xml:space="preserve">Convenience sampling, also referred to as availability sampling, entails selecting cases randomly based solely on their easy accessibility or convenience.  While convenience sampling is commonly employed, it is susceptible to various biases and external influences that are difficult to control (Saunders et al. 2019, 319). Purposive sampling involves using the researcher's judgment to choose cases that will best help them address their research questions and achieve their objectives. Therefore, they should carefully consider how their decisions to include or exclude certain cases may affect their research. This approach is often employed when working with very small samples, such as in case study research, or when selecting cases that are particularly insightful (Saunders et al. 2019, 323). </w:t>
      </w:r>
    </w:p>
    <w:p w14:paraId="371180A8" w14:textId="77777777" w:rsidR="00B66622" w:rsidRPr="00B66622" w:rsidRDefault="00B66622" w:rsidP="00B66622">
      <w:pPr>
        <w:pStyle w:val="Paragrafoelenco"/>
        <w:spacing w:before="176"/>
        <w:ind w:left="283" w:right="420" w:firstLine="360"/>
        <w:rPr>
          <w:szCs w:val="24"/>
        </w:rPr>
      </w:pPr>
      <w:r w:rsidRPr="00B66622">
        <w:rPr>
          <w:szCs w:val="24"/>
        </w:rPr>
        <w:t>Quota sampling is a non-random method often used as an alternative to probability sampling in surveys conducted via the internet or by interviewers. It operates on the assumption that the sample will accurately reflect the target population because the variability of key variables within the sample matches that of the population (Baker et al. 2013). Snowball sampling is a technique where participants voluntarily choose to take part in the research rather than being selected by the researcher. It is frequently used when it is challenging to locate members of the target population (Lee 2000).</w:t>
      </w:r>
    </w:p>
    <w:p w14:paraId="358171AB" w14:textId="77777777" w:rsidR="00B66622" w:rsidRPr="00B66622" w:rsidRDefault="00B66622" w:rsidP="00B66622">
      <w:pPr>
        <w:pStyle w:val="Paragrafoelenco"/>
        <w:spacing w:before="176"/>
        <w:ind w:left="283" w:right="420" w:firstLine="360"/>
        <w:rPr>
          <w:szCs w:val="24"/>
        </w:rPr>
      </w:pPr>
      <w:r w:rsidRPr="00B66622">
        <w:rPr>
          <w:szCs w:val="24"/>
        </w:rPr>
        <w:t xml:space="preserve">Having scrutinized all these techniques, I relied on the fact that, for my research objectives, it was essential to select sources and actors that offered profound insights into the discursive and political dynamics under investigation, while remaining faithful to the interpretive nature of my research. Hence, that I was not trying to encompass every voice or attain statistical representativeness about the Russian Self, but rather to focus on those statements with most explicit and influential emphasis in the construction of the hero-protector narrative. </w:t>
      </w:r>
    </w:p>
    <w:p w14:paraId="41F26F48" w14:textId="77777777" w:rsidR="00B66622" w:rsidRPr="00B66622" w:rsidRDefault="00B66622" w:rsidP="00B66622">
      <w:pPr>
        <w:pStyle w:val="Paragrafoelenco"/>
        <w:spacing w:before="176"/>
        <w:ind w:left="283" w:right="420" w:firstLine="360"/>
        <w:rPr>
          <w:szCs w:val="24"/>
        </w:rPr>
      </w:pPr>
      <w:r w:rsidRPr="00B66622">
        <w:rPr>
          <w:szCs w:val="24"/>
        </w:rPr>
        <w:t>Unlike quota sampling, I did not attempt to evenly cover different groups because official discourse tends to produce fewer but more authoritative texts, while semi-official sources often generate a larger volume of emotionally intense material. This choice was not simply about convenience either. Although there is plenty of commentary on Armenia available online within the Russian media landscape, only a small number of actors consistently commented the Nagorno-Karabakh conflict and explicitly expressed their view on the topic. Finally, using snowball sampling was not appropriate in this case because I was not relying on personal networks. Instead, purposive sampling helped me build a collection of sources that reflects not the entire range of Russian opinions, but the voices that carry the most symbolic and institutional influence in the politics of deference.</w:t>
      </w:r>
    </w:p>
    <w:p w14:paraId="0CA405E9" w14:textId="77777777" w:rsidR="00B66622" w:rsidRPr="00B66622" w:rsidRDefault="00B66622" w:rsidP="00B66622">
      <w:pPr>
        <w:pStyle w:val="Paragrafoelenco"/>
        <w:spacing w:before="176"/>
        <w:ind w:left="283" w:right="420" w:firstLine="360"/>
        <w:rPr>
          <w:szCs w:val="24"/>
        </w:rPr>
      </w:pPr>
      <w:r w:rsidRPr="00B66622">
        <w:rPr>
          <w:szCs w:val="24"/>
        </w:rPr>
        <w:t>Since my primary goal was to generate high-data, the first category of Russian actors I focused on for my text selection was the so-called “elite tier.” According to Pan &amp; Korolev (2021, 121), a biographical narrative based on official statements and speeches reveals how the state perceives itself and the image it aims to project. This includes official state actors such as President Vladimir Putin and the Ministry of Foreign Affairs’ Sergey Lavrov, and their respective spokespersons, like Dmitry Peskov and Mariya Zakharova. These materials are publicly available on the ministries’ official websites and are frequently cited by major news agencies such as TASS, RIA Novosti, and Interfax.</w:t>
      </w:r>
    </w:p>
    <w:p w14:paraId="0B836C94" w14:textId="77777777" w:rsidR="00B66622" w:rsidRPr="00B66622" w:rsidRDefault="00B66622" w:rsidP="00B66622">
      <w:pPr>
        <w:pStyle w:val="Paragrafoelenco"/>
        <w:spacing w:before="176"/>
        <w:ind w:left="283" w:right="420" w:firstLine="360"/>
        <w:rPr>
          <w:szCs w:val="24"/>
        </w:rPr>
      </w:pPr>
      <w:r w:rsidRPr="00B66622">
        <w:rPr>
          <w:szCs w:val="24"/>
        </w:rPr>
        <w:t>Figures within semi-official discourse were selected based on three primary criteria. The first was consistency, meaning they regularly commented on Armenia and Nagorno-Karabakh. My extensive engagement with Russian public debates on these topics allowed me to identify the key figures and institutions that consistently express their views on this issue. The second criterion was visibility and amplification, as their Telegram channels, newspaper columns, and television appearances reach wide audiences and are often rebroadcast by official media outlets. The third criterion was institutional embeddedness; although their personal platforms may not be directly controlled by the state, they frequently participate in initiatives led by state broadcasters. These actors are analytically significant because they serve as intermediaries who translate official discourse into emotionally resonant narratives, dramatize themes of victimhood and protection, and thereby reinforce Russia’s protector identity beyond formal state statements.</w:t>
      </w:r>
    </w:p>
    <w:p w14:paraId="4BE90E55" w14:textId="77777777" w:rsidR="00B66622" w:rsidRPr="00B66622" w:rsidRDefault="00B66622" w:rsidP="00B66622">
      <w:pPr>
        <w:pStyle w:val="Paragrafoelenco"/>
        <w:spacing w:before="176"/>
        <w:ind w:left="283" w:right="420" w:firstLine="360"/>
        <w:rPr>
          <w:szCs w:val="24"/>
        </w:rPr>
      </w:pPr>
      <w:r w:rsidRPr="00B66622">
        <w:rPr>
          <w:szCs w:val="24"/>
        </w:rPr>
        <w:t>The first level I focused on to identify additional actors within Russian semi-official discourse was state-controlled media landscape. The Kremlin wields powerful tools for shaping and disseminating its narratives, primarily through strategic use of media outlets (Hinck et al. 2018, 24). Domestically, the Russian government has been largely successful in persuading its population to adopt and internalize its interpretations of international affairs (Pupcenoks &amp; Seltzer 2021). Moreover, Hinck et al. (2021, 88) highlight the importance of Russian media in shaping narratives of autobiographical continuity, which serve to reinforce Moscow’s ontological security both internally and externally. For this reason, analyzing the narratives generated within Russia’s broadcast and information spaces is crucial.</w:t>
      </w:r>
    </w:p>
    <w:p w14:paraId="46D79EEE" w14:textId="77777777" w:rsidR="00B66622" w:rsidRPr="00B66622" w:rsidRDefault="00B66622" w:rsidP="00B66622">
      <w:pPr>
        <w:pStyle w:val="Paragrafoelenco"/>
        <w:spacing w:before="176"/>
        <w:ind w:left="283" w:right="420" w:firstLine="360"/>
        <w:rPr>
          <w:szCs w:val="24"/>
        </w:rPr>
      </w:pPr>
      <w:r w:rsidRPr="00B66622">
        <w:rPr>
          <w:szCs w:val="24"/>
        </w:rPr>
        <w:t>Within this context, the discursive output of prominent figures such as Margarita Simonyan, editor-in-chief of RT, and Vladimir Solovyov was examined. Their content is accessible through their official Telegram channels and through their regular appearances on state television talk shows and programs. Of particular note is “Evening with Vladimir Solovyov” (Вечер с Владимиром Соловьёвым/Vecher s Vladimirom Solovyovym), which is among the most widely watched programs in the country. Additional sources included speeches by politicians from the Duma who actively voiced their opinions on the Nagorno-Karabakh conflict. These included Vladimir Zhirinovsky, who led the Liberal Democratic Party of Russia (Либерально-демократическая партия России/Liberalno-demokraticheskaya partiya Rossii) until his death in 2022, and Konstantin Zatulin, First Deputy Chairman of the State Duma Committee on Post-Soviet Affairs and Eurasian Integration. Both consistently commented Russia’s role in the Nagorno-Karabakh conflict.</w:t>
      </w:r>
    </w:p>
    <w:p w14:paraId="58F8F84F" w14:textId="77777777" w:rsidR="00B66622" w:rsidRPr="00B66622" w:rsidRDefault="00B66622" w:rsidP="00B66622">
      <w:pPr>
        <w:pStyle w:val="Paragrafoelenco"/>
        <w:spacing w:before="176"/>
        <w:ind w:left="283" w:right="420" w:firstLine="360"/>
        <w:rPr>
          <w:szCs w:val="24"/>
        </w:rPr>
      </w:pPr>
      <w:r w:rsidRPr="00B66622">
        <w:rPr>
          <w:szCs w:val="24"/>
        </w:rPr>
        <w:t>The second significant layer of analysis involved data from a broader population within Telegram communication. Farbman (2023) highlights the platform’s importance, noting that even Russian television, long a cornerstone of the Kremlin’s propaganda apparatus, has increasingly adopted narratives initially circulating on Telegram. Following the events in Ukraine in 2014 and the subsequent bans on numerous Russian media outlets across Europe, many of these outlets began leveraging Telegram to distribute their content. Like other authoritarian regimes, Russian authorities have recognized the importance of digital media in shaping public opinion (Fedor and Fredheim 2017). Telegram’s significance has grown further as platforms such as YouTube, which have traditionally been central to Russia’s online culture, face substantial disruptions. With the bans on US-based social media platforms like Facebook, Instagram, and Twitter since Russia’s invasion of Ukraine in 2022, no major competitors have emerged to fill this gap (Statista 2025). Alyukov (2021, 401) describes this environment as a “hybrid media system,” wherein the government endeavors to coordinate reporting across both broadcast and digital media.</w:t>
      </w:r>
    </w:p>
    <w:p w14:paraId="625AE575" w14:textId="77777777" w:rsidR="00B66622" w:rsidRPr="00B66622" w:rsidRDefault="00B66622" w:rsidP="00B66622">
      <w:pPr>
        <w:pStyle w:val="Paragrafoelenco"/>
        <w:spacing w:before="176"/>
        <w:ind w:left="283" w:right="420" w:firstLine="360"/>
        <w:rPr>
          <w:szCs w:val="24"/>
        </w:rPr>
      </w:pPr>
      <w:r w:rsidRPr="00B66622">
        <w:rPr>
          <w:szCs w:val="24"/>
        </w:rPr>
        <w:t>Four prominent military bloggers, known in Russian as voenkory (военкоры), were identified as particularly relevant for my corpus: Semyon Pegov, who operates under the alias War Gonzo; Boris Rozhin, known as Colonel Cassad; Rotislav Zhuravlyov; and Aleksandr Kots, who maintains his own Telegram channel and also contributes to the tabloid Komsomolskaya Pravda. These individuals are not only highly popular within the Russian information space, owing to their large subscriber bases, but they also extensively covered the conflict and frequently expressed strong sympathies for the Armenian side in the Nagorno-Karabakh dispute. For instance, journalists like Semyon Pegov, popularly known as WarGonzo, and Aleksandr Kots were particularly active during the 2020 war; they traveled to Nagorno-Karabakh while it was still under Armenian control and consistently voiced compassion and support for the Armenian cause.</w:t>
      </w:r>
    </w:p>
    <w:p w14:paraId="5421B5E2" w14:textId="77777777" w:rsidR="00B66622" w:rsidRPr="00B66622" w:rsidRDefault="00B66622" w:rsidP="00B66622">
      <w:pPr>
        <w:pStyle w:val="Paragrafoelenco"/>
        <w:spacing w:before="176"/>
        <w:ind w:left="283" w:right="420" w:firstLine="360"/>
        <w:rPr>
          <w:szCs w:val="24"/>
        </w:rPr>
      </w:pPr>
      <w:r w:rsidRPr="00B66622">
        <w:rPr>
          <w:szCs w:val="24"/>
        </w:rPr>
        <w:t>In both layers, some commentators of Armenian nationality were also considered noteworthy. Relying on their Armenian roots and possessing a substantial Armenian audience, while endorsing Kremlin’s foreign policy, their recognition of Russia’s protector role has direct implications for the stability of the hero-protector narrative. Following the events of September 2023, Arayik Harutyunyan, head of the Armenian Prime Minister's office, posed a provocative question in a Facebook post: “How is it that the most vile propagandists of Russian TV channels are Armenians?” (The Insider 2023). He was referring to some prominent Russian media personalities of Armenian origin who enjoy significant popularity in Russia and have actively promoted pro-Russian perspectives on Russian-Armenian relations.</w:t>
      </w:r>
    </w:p>
    <w:p w14:paraId="2C4B8D06" w14:textId="77777777" w:rsidR="00B66622" w:rsidRPr="00B66622" w:rsidRDefault="00B66622" w:rsidP="00B66622">
      <w:pPr>
        <w:pStyle w:val="Paragrafoelenco"/>
        <w:spacing w:before="176"/>
        <w:ind w:left="283" w:right="420" w:firstLine="360"/>
        <w:rPr>
          <w:szCs w:val="24"/>
        </w:rPr>
      </w:pPr>
      <w:r w:rsidRPr="00B66622">
        <w:rPr>
          <w:szCs w:val="24"/>
        </w:rPr>
        <w:t>Among these figures is Margarita Simonyan, the editor-in-chief of RT, who has openly criticized Armenian Prime Minister Nikol Pashinyan since 2020 for his handling of Nagorno-Karabakh and his attitude towards Russia (Kolstø and Blakkisrud 2021). Another key figure is Tigran Keosayan, a filmmaker, actor, and television host, who was married to Simonyan until his death in September 2025. Both were banned from entering Armenia on the grounds of being “agents from different countries with Armenian surnames who exhibit a disrespectful attitude towards Armenia” (Avetisyan 2022).</w:t>
      </w:r>
    </w:p>
    <w:p w14:paraId="696DE490" w14:textId="77777777" w:rsidR="00B66622" w:rsidRPr="00B66622" w:rsidRDefault="00B66622" w:rsidP="00B66622">
      <w:pPr>
        <w:pStyle w:val="Paragrafoelenco"/>
        <w:spacing w:before="176"/>
        <w:ind w:left="283" w:right="420" w:firstLine="360"/>
        <w:rPr>
          <w:szCs w:val="24"/>
        </w:rPr>
      </w:pPr>
      <w:r w:rsidRPr="00B66622">
        <w:rPr>
          <w:szCs w:val="24"/>
        </w:rPr>
        <w:t xml:space="preserve">Additionally, it is necessary to mention Roman Babayan and Semyon Bagdasarov. The first is a journalist and reporter, host of the program "Your Truth" (Svoya Pravda/Своя Правда) on the NTV channel and member of Moscow City Duma (Moscow City Duma n.d.). He also serves as a member of the Commission for Informational Support of the State National Policy within the Council under the President of the Russian Federation that focuses on inter-ethnic relations (Moscow City Duma n.d.). The second worked in the Ministry for Commonwealth of Independent States’ (CIS) Affairs and was an assistant to the chairman of the CIS Interstate Economic Committee (Parlamentskaya Gazeta n.d.). In 2016, both Bagdasarov and Babayan campaigned for the Russian State Duma and received endorsement from the Armenian Presidential administration under Serzh Sargsyan (Mejlumyan 2018). Both came to the attention of the Azerbaijani authorities for visiting Nagorno-Karabakh when it was still under Armenian control (The Ministry of Foreign Affairs of the Azerbaijani Republic n.d.). Like Keosayan and Simonyan, they have been vocal critics of the Pashinyan government in Armenia. </w:t>
      </w:r>
    </w:p>
    <w:p w14:paraId="37E649CC" w14:textId="2569C632" w:rsidR="00B66622" w:rsidRPr="00B66622" w:rsidRDefault="006D6A7D" w:rsidP="00C33B50">
      <w:pPr>
        <w:pStyle w:val="Titolo3"/>
        <w:ind w:firstLine="283"/>
      </w:pPr>
      <w:bookmarkStart w:id="59" w:name="_Toc215742672"/>
      <w:r>
        <w:t xml:space="preserve">4.6.4. Data </w:t>
      </w:r>
      <w:r w:rsidR="00031E6D">
        <w:t>A</w:t>
      </w:r>
      <w:r>
        <w:t>nalysis</w:t>
      </w:r>
      <w:bookmarkEnd w:id="59"/>
    </w:p>
    <w:p w14:paraId="18A9D6A7" w14:textId="77777777" w:rsidR="00B66622" w:rsidRPr="00B66622" w:rsidRDefault="00B66622" w:rsidP="00B66622">
      <w:pPr>
        <w:pStyle w:val="Paragrafoelenco"/>
        <w:spacing w:before="176"/>
        <w:ind w:left="283" w:right="420" w:firstLine="360"/>
        <w:rPr>
          <w:szCs w:val="24"/>
        </w:rPr>
      </w:pPr>
      <w:r w:rsidRPr="00B66622">
        <w:rPr>
          <w:szCs w:val="24"/>
        </w:rPr>
        <w:t>As we already know, the data I analyzed in my research primarily consisted of verbal and textual material derived from Russian discourse. However, language can be examined through a variety of different approaches. For instance, thematic analysis is a technique that brings structure to the process of analyzing texts by coding them, which involves labeling or categorizing segments of the text to identify and organize themes for interpretation (Alejandro and Zhao 2023, 463). This approach shifts the researcher’s natural, intuitive understanding of textual data into a more deliberate and systematic process. Its main aim is to uncover, examine, and interpret patterns of meaning through repeated reading and re-reading of the data to uncover what the text is conveying (Braun and Clarke 2012, 57).</w:t>
      </w:r>
    </w:p>
    <w:p w14:paraId="469C7958" w14:textId="77777777" w:rsidR="00B66622" w:rsidRPr="00B66622" w:rsidRDefault="00B66622" w:rsidP="00B66622">
      <w:pPr>
        <w:pStyle w:val="Paragrafoelenco"/>
        <w:spacing w:before="176"/>
        <w:ind w:left="283" w:right="420" w:firstLine="360"/>
        <w:rPr>
          <w:szCs w:val="24"/>
        </w:rPr>
      </w:pPr>
      <w:r w:rsidRPr="00B66622">
        <w:rPr>
          <w:szCs w:val="24"/>
        </w:rPr>
        <w:t>Qualitative content analysis is a method that helps describe material in particular aspects by translating relevant meanings into categories within a coding frame and classifying parts of the text accordingly (Schreier 2012). It is being performed by analyzing how often specific words or phrases appear within a set of texts, or by examining the prominence and connectivity of words within a rhetorical network (Krebs 2015). This method can assist in quantifying claims about the language employed in discussions of a specific issue, shedding light on how it contributes to broader efforts of narrative construction (Sadriu 2021, 15).</w:t>
      </w:r>
    </w:p>
    <w:p w14:paraId="7BE7F30A" w14:textId="77777777" w:rsidR="00B66622" w:rsidRPr="00B66622" w:rsidRDefault="00B66622" w:rsidP="00B66622">
      <w:pPr>
        <w:pStyle w:val="Paragrafoelenco"/>
        <w:spacing w:before="176"/>
        <w:ind w:left="283" w:right="420" w:firstLine="360"/>
        <w:rPr>
          <w:szCs w:val="24"/>
        </w:rPr>
      </w:pPr>
      <w:r w:rsidRPr="00B66622">
        <w:rPr>
          <w:szCs w:val="24"/>
        </w:rPr>
        <w:t xml:space="preserve">Another method which might be used is process-tracing. The latter is widely used by scholars examining the evolution and persistence (or transformation) of narratives over time, including the dynamics of contestation, negotiation, and argumentation (Sadriu 2021, 15). It is a method designed to establish causal claims by closely following the sequence through which an event unfolds and identifying key variables to determine when, how, or whether they influence the outcome. Bennett and Checkel (2015, 7-8) define it as “the analysis of evidence on processes, sequences, and conjunctures of events within a case for the purposes of either developing or testing hypotheses about causal mechanisms that might causally explain the case”. </w:t>
      </w:r>
    </w:p>
    <w:p w14:paraId="0C63D12E" w14:textId="77777777" w:rsidR="00B66622" w:rsidRPr="00B66622" w:rsidRDefault="00B66622" w:rsidP="00B66622">
      <w:pPr>
        <w:pStyle w:val="Paragrafoelenco"/>
        <w:spacing w:before="176"/>
        <w:ind w:left="283" w:right="420" w:firstLine="360"/>
        <w:rPr>
          <w:szCs w:val="24"/>
        </w:rPr>
      </w:pPr>
      <w:r w:rsidRPr="00B66622">
        <w:rPr>
          <w:szCs w:val="24"/>
        </w:rPr>
        <w:t xml:space="preserve">Narrative analysis offers a method for collecting and interpreting data that focuses on how actors understand and communicate a sense of temporal sequence in their experiences and actions. It focuses on how people, when recounting experiences or events that have impacted them, often through storytelling, identify sequences over time in their lives and incorporate that structure into their narratives (Bryman 2012, 82). In the field of IR and political science (PS), narrative analysis examines how narratives shape and normalize patterns of behavior, thinking, and policymaking over time (Sadriu 2021). </w:t>
      </w:r>
    </w:p>
    <w:p w14:paraId="6C5C7FA4" w14:textId="1DC5E7AF" w:rsidR="00B66622" w:rsidRPr="00B66622" w:rsidRDefault="00B66622" w:rsidP="00B66622">
      <w:pPr>
        <w:pStyle w:val="Paragrafoelenco"/>
        <w:spacing w:before="176"/>
        <w:ind w:left="283" w:right="420" w:firstLine="360"/>
        <w:rPr>
          <w:szCs w:val="24"/>
        </w:rPr>
      </w:pPr>
      <w:r w:rsidRPr="00B66622">
        <w:rPr>
          <w:szCs w:val="24"/>
        </w:rPr>
        <w:t xml:space="preserve">Finally, another useful approach is discourse analysis, which explores how actors’ language is connected to the world around them and how they construct narratives to make sense of that world (Sadriu 2021, 15). From this perspective, discourse is thus understood both as a structure and as a set of practices that organize and regulate social life (Laffey and Weldes 2004). It focuses on how discourse constructs different versions of the world, society, events, and internal psychological realities (Potter 1997, 146). Overall, it can be argued that this method is strongly influenced by Foucault’s work (1972, 49), which conceptualizes discourse as “practices that systematically form the objects of which they speak.” Discourse analysis prioritizes understanding the situated construction of national identity or interest and its political implications, rather than seeking generalizable laws or predictive models (Ostermann </w:t>
      </w:r>
      <w:r w:rsidR="005B04DE">
        <w:rPr>
          <w:szCs w:val="24"/>
        </w:rPr>
        <w:t>&amp;</w:t>
      </w:r>
      <w:r w:rsidRPr="00B66622">
        <w:rPr>
          <w:szCs w:val="24"/>
        </w:rPr>
        <w:t xml:space="preserve"> Sjöstedt 2022, 106). </w:t>
      </w:r>
    </w:p>
    <w:p w14:paraId="33999DAE" w14:textId="77777777" w:rsidR="00B66622" w:rsidRPr="00B66622" w:rsidRDefault="00B66622" w:rsidP="00B66622">
      <w:pPr>
        <w:pStyle w:val="Paragrafoelenco"/>
        <w:spacing w:before="176"/>
        <w:ind w:left="283" w:right="420" w:firstLine="360"/>
        <w:rPr>
          <w:szCs w:val="24"/>
        </w:rPr>
      </w:pPr>
      <w:r w:rsidRPr="00B66622">
        <w:rPr>
          <w:szCs w:val="24"/>
        </w:rPr>
        <w:t xml:space="preserve">As mentioned in the previous sections of this chapter, my research objectives lead me to adopt a multi-method approach. In particular, I wanted to focus on two methods that strengthen the argument that, within Russian discourse, traced the hero-protector narrative and demonstrated how it was closely connected to the three theoretical concepts of this dissertation: ontological security, honor, and collective memory. At first glance, narrative analysis might seem especially suitable for this purpose, since ontological security scholarship often relies on biographical narratives to demonstrate how actors sustain a coherent sense of self. However, in my study, “narrative” already operates at the level of theory. To pursue this aim, methods such as content analysis lack the necessary interpretive depth, while process tracing relies on causal reasoning that does not align with the constructivist and psychoanalytic lens adopted in this study. </w:t>
      </w:r>
    </w:p>
    <w:p w14:paraId="2742F3A7" w14:textId="77777777" w:rsidR="00B66622" w:rsidRPr="00B66622" w:rsidRDefault="00B66622" w:rsidP="00B66622">
      <w:pPr>
        <w:pStyle w:val="Paragrafoelenco"/>
        <w:spacing w:before="176"/>
        <w:ind w:left="283" w:right="420" w:firstLine="360"/>
        <w:rPr>
          <w:szCs w:val="24"/>
        </w:rPr>
      </w:pPr>
      <w:r w:rsidRPr="00B66622">
        <w:rPr>
          <w:szCs w:val="24"/>
        </w:rPr>
        <w:t xml:space="preserve">As previously established, the hero-protector narrative functions as the foundational analytical framework guiding my investigation. It delineates four interconnected roles (hero-protector, innocent victim, perverse aggressor, and coward) that serve as the principal categories I aimed to identify within my corpus. These roles underpin a thematic reading of the data, whereby each text is systematically examined to locate narrative segments corresponding to one or more of these roles. Thus, among the methods discussed earlier, I found that thematic analysis represented an appropriate method for elucidating data concerning the hero-protector narrative. </w:t>
      </w:r>
    </w:p>
    <w:p w14:paraId="4E8A2688" w14:textId="77777777" w:rsidR="00B66622" w:rsidRPr="00B66622" w:rsidRDefault="00B66622" w:rsidP="00B66622">
      <w:pPr>
        <w:pStyle w:val="Paragrafoelenco"/>
        <w:spacing w:before="176"/>
        <w:ind w:left="283" w:right="420" w:firstLine="360"/>
        <w:rPr>
          <w:szCs w:val="24"/>
        </w:rPr>
      </w:pPr>
      <w:r w:rsidRPr="00B66622">
        <w:rPr>
          <w:szCs w:val="24"/>
        </w:rPr>
        <w:t>However, as I scrutinized the corpus of my dissertation, I realized that thematic analysis alone may not sufficiently capture the salience of the hero-protector narrative for Russian actors. Instead, discourse analysis allowed for an exploration of how language produces and sustains the hero-protector narrative as crucial to Russia’s self-identity and how the latter changed depending on critical situations within the Nagorno-Karabakh conflict. This kind of evidence is also supported by Alejandro and Zhao (2024: 466), who claim that thematic analysis and discourse analysis are frequently employed as complementary methods, in sequence. Specifically, the former is typically used as an initial step in the process of the latter, for instance, to identify key themes within a set of texts as a preparatory phase before conducting a more detailed discourse analysis.</w:t>
      </w:r>
    </w:p>
    <w:p w14:paraId="24F51995" w14:textId="09C071D5" w:rsidR="00B66622" w:rsidRPr="00B66622" w:rsidRDefault="00B66622" w:rsidP="00B66622">
      <w:pPr>
        <w:pStyle w:val="Paragrafoelenco"/>
        <w:spacing w:before="176"/>
        <w:ind w:left="283" w:right="420" w:firstLine="360"/>
        <w:rPr>
          <w:szCs w:val="24"/>
        </w:rPr>
      </w:pPr>
      <w:r w:rsidRPr="00B66622">
        <w:rPr>
          <w:szCs w:val="24"/>
        </w:rPr>
        <w:t xml:space="preserve">As the research question focuses on identity-related anxieties, incorporating a type of discourse analysis investigating emotions offered a valuable supplement to deepen understanding of the thematic analysis. Emotions are frequently described as the conscious awareness of physical sensations (Hutchison </w:t>
      </w:r>
      <w:r w:rsidR="005B04DE">
        <w:rPr>
          <w:szCs w:val="24"/>
        </w:rPr>
        <w:t>&amp;</w:t>
      </w:r>
      <w:r w:rsidRPr="00B66622">
        <w:rPr>
          <w:szCs w:val="24"/>
        </w:rPr>
        <w:t xml:space="preserve"> Bleiker 2017). However, this definition tends to focus on individual, physiological responses, emphasizing micro-level, subjective experiences rather than addressing emotion as a collective or socially constructed phenomenon. From a social constructivist perspective, emotions are not merely individual experiences but socio-cultural constructs that influence and reflect shared understandings of values and ideals. They serve to legitimize certain narratives while marginalizing or suppressing others (Hutchison </w:t>
      </w:r>
      <w:r w:rsidR="005B04DE">
        <w:rPr>
          <w:szCs w:val="24"/>
        </w:rPr>
        <w:t>&amp;</w:t>
      </w:r>
      <w:r w:rsidRPr="00B66622">
        <w:rPr>
          <w:szCs w:val="24"/>
        </w:rPr>
        <w:t xml:space="preserve"> Bleiker 2017).</w:t>
      </w:r>
    </w:p>
    <w:p w14:paraId="69E32B5D" w14:textId="77777777" w:rsidR="00B66622" w:rsidRPr="00B66622" w:rsidRDefault="00B66622" w:rsidP="00B66622">
      <w:pPr>
        <w:pStyle w:val="Paragrafoelenco"/>
        <w:spacing w:before="176"/>
        <w:ind w:left="283" w:right="420" w:firstLine="360"/>
        <w:rPr>
          <w:szCs w:val="24"/>
        </w:rPr>
      </w:pPr>
      <w:r w:rsidRPr="00B66622">
        <w:rPr>
          <w:szCs w:val="24"/>
        </w:rPr>
        <w:t>Emotions are central to this study because they mediate the relationship between the analytical framework and key concepts such as honor and ontological security. While ontological security is intrinsically linked to the emotion of anxiety, honor itself cannot be considered an emotion. Nonetheless, existing literature demonstrates that honor and deference are closely connected to both positive and negative emotions, including pride, anger, compassion, shame, and humiliation (Mosquera 2022). Moreover, these emotions also underpin the hero-protector narrative (Sangar et al., 2018).</w:t>
      </w:r>
    </w:p>
    <w:p w14:paraId="4B037E81" w14:textId="77777777" w:rsidR="00B66622" w:rsidRPr="00B66622" w:rsidRDefault="00B66622" w:rsidP="00B66622">
      <w:pPr>
        <w:pStyle w:val="Paragrafoelenco"/>
        <w:spacing w:before="176"/>
        <w:ind w:left="283" w:right="420" w:firstLine="360"/>
        <w:rPr>
          <w:szCs w:val="24"/>
        </w:rPr>
      </w:pPr>
      <w:r w:rsidRPr="00B66622">
        <w:rPr>
          <w:szCs w:val="24"/>
        </w:rPr>
        <w:t>According to Gustafsson &amp; Hall (2021), two major theoretical approaches have become particularly influential in the study of emotions within IR, both of which emphasize the centrality of discourse. The first, known as “political emotion”, examines how emotional responses, affective states, and felt experiences shape international political processes and decisions (Gustafsson &amp; Hall 2021, 974). This body of research explores how the physiological, experiential, and cognitive dimensions of emotion influence actors’ preferences and behavior, often drawing on findings from psychology and neuroscience (Mercer 2005). In this approach, emotions are generally understood to play a causal role in politics, either as independent forces or as variables that mediate outcomes by shaping beliefs, motivations, and actions.</w:t>
      </w:r>
    </w:p>
    <w:p w14:paraId="6018EE08" w14:textId="77777777" w:rsidR="00B66622" w:rsidRPr="00B66622" w:rsidRDefault="00B66622" w:rsidP="00B66622">
      <w:pPr>
        <w:pStyle w:val="Paragrafoelenco"/>
        <w:spacing w:before="176"/>
        <w:ind w:left="283" w:right="420" w:firstLine="360"/>
        <w:rPr>
          <w:szCs w:val="24"/>
        </w:rPr>
      </w:pPr>
      <w:r w:rsidRPr="00B66622">
        <w:rPr>
          <w:szCs w:val="24"/>
        </w:rPr>
        <w:t>The second approach, which Gustafsson &amp; Hall (2021, 974) refer to as “emotional politics”, focuses on how political actors invoke, shape, or instrumentalize emotions through discourse and symbolic expression. This includes studies on the strategic use of emotional performances to construct particular political images (Hall 2015), as well as analyses of how populist movements mobilize emotions such as fear, anxiety, or uncertainty to gain support (Kinnvall 2017). Scholars working within this tradition are primarily concerned with how emotions are engaged, harnessed, and manipulated to serve political objectives (Gustafsson &amp; Hall 2021, 974). Overall, I believe that my study, to a certain extent, aligns with this second strand.</w:t>
      </w:r>
    </w:p>
    <w:p w14:paraId="37709A93" w14:textId="77777777" w:rsidR="00B66622" w:rsidRPr="00B66622" w:rsidRDefault="00B66622" w:rsidP="00B66622">
      <w:pPr>
        <w:pStyle w:val="Paragrafoelenco"/>
        <w:spacing w:before="176"/>
        <w:ind w:left="283" w:right="420" w:firstLine="360"/>
        <w:rPr>
          <w:szCs w:val="24"/>
        </w:rPr>
      </w:pPr>
      <w:r w:rsidRPr="00B66622">
        <w:rPr>
          <w:szCs w:val="24"/>
        </w:rPr>
        <w:t>Building on the emotional politics literature, emotion discourse analysis (EDA) seeks to "empirically show what the emotions built into discourse actually 'do' in terms of, for example, revelation of the speaker’s motives and attitudes, recognition of audience reception and responses, construction of power relationships and hierarchies, or stimulating certain performances and behavior" (Koschut 2018, 281). This method examines how foreign policy actors articulate emotions and use emotional categories when discussing subjects, events, or social relationships. Within this framework, emotionally charged language can also serve strategic purposes, such as reinforcing social hierarchies by attributing praise or blame to specific actions or traits, or by contrasting certain emotions with others in order to construct a particular version of reality through discourse (Koschut 2022, 168). Moreover, through emotional language people are encouraged to adopt particular beliefs, values, and roles, ultimately internalizing certain norms of power and authority (Ahmed 2004;  Koschut 2018; 2022).</w:t>
      </w:r>
    </w:p>
    <w:p w14:paraId="75E6C1EE" w14:textId="77777777" w:rsidR="00B66622" w:rsidRPr="00B66622" w:rsidRDefault="00B66622" w:rsidP="00B66622">
      <w:pPr>
        <w:pStyle w:val="Paragrafoelenco"/>
        <w:spacing w:before="176"/>
        <w:ind w:left="283" w:right="420" w:firstLine="360"/>
        <w:rPr>
          <w:szCs w:val="24"/>
        </w:rPr>
      </w:pPr>
      <w:r w:rsidRPr="00B66622">
        <w:rPr>
          <w:szCs w:val="24"/>
        </w:rPr>
        <w:t xml:space="preserve">Thus, after identifying the hero-protector categories within my corpus, I employed EDA to explore the emotional nuances of how these roles were articulated and, most importantly, to trace the underlying anxieties of Russian actors in response to Armenian elites’ misrecognition of this narrative EDA served to detect emotionally charged expressions (lexical, metaphorical, or tonal markers) of pride, care, grief, anger, shame, or anxiety, that established moral or affective links between roles, even when the actors themselves were not explicitly named. </w:t>
      </w:r>
    </w:p>
    <w:p w14:paraId="30AAC112" w14:textId="69CFC08D" w:rsidR="00B66622" w:rsidRPr="00B66622" w:rsidRDefault="006D6A7D" w:rsidP="00C33B50">
      <w:pPr>
        <w:pStyle w:val="Titolo3"/>
        <w:ind w:firstLine="283"/>
      </w:pPr>
      <w:bookmarkStart w:id="60" w:name="_Toc215742673"/>
      <w:r>
        <w:t>4.6.5 Coding</w:t>
      </w:r>
      <w:bookmarkEnd w:id="60"/>
      <w:r>
        <w:t xml:space="preserve"> </w:t>
      </w:r>
    </w:p>
    <w:p w14:paraId="21BDA1E3" w14:textId="77777777" w:rsidR="00B66622" w:rsidRPr="00B66622" w:rsidRDefault="00B66622" w:rsidP="00B66622">
      <w:pPr>
        <w:pStyle w:val="Paragrafoelenco"/>
        <w:spacing w:before="176"/>
        <w:ind w:left="283" w:right="420" w:firstLine="360"/>
        <w:rPr>
          <w:szCs w:val="24"/>
        </w:rPr>
      </w:pPr>
      <w:r w:rsidRPr="00B66622">
        <w:rPr>
          <w:szCs w:val="24"/>
        </w:rPr>
        <w:t>Similarly, the approach to theory development followed an abductive logic, characterized by a continuous dialogue between theoretical expectations and empirical data. As Le Gall et al. (2024) observe, abductive coding is not a middle ground between inductive and deductive approaches but an iterative inferential process in which theory and data mutually adjust. This approach allowed the hero–protector narrative framework (Sangar et al. 2018) to serve as a sensitizing structure rather than a rigid template, providing orientation while remaining open to new, unanticipated emotional relations emerging from the texts.</w:t>
      </w:r>
    </w:p>
    <w:p w14:paraId="02F84CD9" w14:textId="77777777" w:rsidR="00B66622" w:rsidRPr="00B66622" w:rsidRDefault="00B66622" w:rsidP="00B66622">
      <w:pPr>
        <w:pStyle w:val="Paragrafoelenco"/>
        <w:spacing w:before="176"/>
        <w:ind w:left="283" w:right="420" w:firstLine="360"/>
        <w:rPr>
          <w:szCs w:val="24"/>
        </w:rPr>
      </w:pPr>
      <w:r w:rsidRPr="00B66622">
        <w:rPr>
          <w:szCs w:val="24"/>
        </w:rPr>
        <w:t>A deductive strategy would have applied the four narrative roles (hero-protector, innocent victim, perverse aggressor, coward) as fixed categories, forcing the data to conform to them. Conversely, a purely inductive procedure would have generated codes only from recurrent patterns in the data, detaching the analysis from the theoretical framework that explains how these roles sustain Russia’s moral and ontological order. The abductive approach instead situates theory and evidence in a reflexive relationship. While theoretical categories guided attention, their empirical meaning was constantly refined through close engagement with the corpus.</w:t>
      </w:r>
    </w:p>
    <w:p w14:paraId="0AA8C9F9" w14:textId="77777777" w:rsidR="00B66622" w:rsidRPr="00B66622" w:rsidRDefault="00B66622" w:rsidP="00B66622">
      <w:pPr>
        <w:pStyle w:val="Paragrafoelenco"/>
        <w:spacing w:before="176"/>
        <w:ind w:left="283" w:right="420" w:firstLine="360"/>
        <w:rPr>
          <w:szCs w:val="24"/>
        </w:rPr>
      </w:pPr>
      <w:r w:rsidRPr="00B66622">
        <w:rPr>
          <w:szCs w:val="24"/>
        </w:rPr>
        <w:t>All coding was conducted manually. This choice reflected the interpretive focus of the analysis. Manual coding made it possible to register emotional features that automated methods would fail to detect. The corpus consisted of official and semi-official Russian discourses, including speeches, interviews, media articles, and Telegram posts. Each text was read several times and annotated in two interconnected layers: a thematic layer, identifying how the four roles were discursively enacted, and an emotional layer, examining the affective cues that linked or differentiated these roles.</w:t>
      </w:r>
    </w:p>
    <w:p w14:paraId="0858FE39" w14:textId="77777777" w:rsidR="00B66622" w:rsidRPr="00B66622" w:rsidRDefault="00B66622" w:rsidP="00B66622">
      <w:pPr>
        <w:pStyle w:val="Paragrafoelenco"/>
        <w:spacing w:before="176"/>
        <w:ind w:left="283" w:right="420" w:firstLine="360"/>
        <w:rPr>
          <w:szCs w:val="24"/>
        </w:rPr>
      </w:pPr>
      <w:r w:rsidRPr="00B66622">
        <w:rPr>
          <w:szCs w:val="24"/>
        </w:rPr>
        <w:t xml:space="preserve">The thematic layer drew directly from the hero–protector narrative framework. The four narrative roles functioned as analytical themes, each associated with indicative Russian expressions and motifs. Indicative expressions of the hero-protector role included words such as protector (защитник/zashchitnik), saviour (спаситель/spasitel’), peacekeeper (миротворец /mirotvorets), duty (долг/dolg), honor (честь/chest’), mission (миссия/missiya), responsibility (ответственность/otvetstvennost’), and verbs such as to save (спасти/spasti) or to defend (защищать/zashchishchat’). Typical markers of the victim role included innocent (невинный/nevinnyy), suffering (страдание/stradanie), victim (жертва/zhertva), helpless (беспомощный/bespomoshchnyy), brotherly people (братский народ/bratskiy narod), loyal (верный/vernyy). Indicative language included aggressor (агрессор/agressor), provocation (провокация/provokatsiya), enemy (враг / vrag), fear (страх/strakh), and deception (обман/obman). Common cues of the coward role included fear failure (провал/proval), betrayal (предательство/predatel’stvo), treachery (коварство/kovarstvo) cowardice (трусость/trusost’), ingratitude (неблагодарность/neblagodarnost’), and lack of will (безволие/bezvolie). </w:t>
      </w:r>
    </w:p>
    <w:p w14:paraId="591D93FB" w14:textId="77777777" w:rsidR="00B66622" w:rsidRPr="00B66622" w:rsidRDefault="00B66622" w:rsidP="00B66622">
      <w:pPr>
        <w:pStyle w:val="Paragrafoelenco"/>
        <w:spacing w:before="176"/>
        <w:ind w:left="283" w:right="420" w:firstLine="360"/>
        <w:rPr>
          <w:szCs w:val="24"/>
        </w:rPr>
      </w:pPr>
      <w:r w:rsidRPr="00B66622">
        <w:rPr>
          <w:szCs w:val="24"/>
        </w:rPr>
        <w:t>Within each thematic category, I applied Emotion Discourse Analysis (EDA) to uncover the emotional charge that animated these roles. EDA focused on the linguistic and metaphorical indicators of pride, care, anger, shame, resentment, betrayal, and nostalgia. These emotions were treated as discursive performances that construct moral hierarchies and relational dependencies. For example, pride and duty reinforced the self-image of Russia as a hero-protector; compassion and care sustained the protector–victim bond; while anger and resentment signalled frustration toward the coward. When passages contained overlapping or ambiguous emotions, I recorded these tensions rather than forced them into a single category. This iterative refinement of codes and interpretations is precisely what makes the process abductive: the analytical framework guided the reading, but the empirical nuances continually reshaped how its categories were understood.</w:t>
      </w:r>
    </w:p>
    <w:p w14:paraId="5EC2F979" w14:textId="77777777" w:rsidR="00B66622" w:rsidRPr="00B66622" w:rsidRDefault="00B66622" w:rsidP="00B66622">
      <w:pPr>
        <w:pStyle w:val="Paragrafoelenco"/>
        <w:spacing w:before="176"/>
        <w:ind w:left="283" w:right="420" w:firstLine="360"/>
        <w:rPr>
          <w:szCs w:val="24"/>
        </w:rPr>
      </w:pPr>
      <w:r w:rsidRPr="00B66622">
        <w:rPr>
          <w:szCs w:val="24"/>
        </w:rPr>
        <w:t>Finally, I compared thematic–emotional constellations across the three temporal junctures (2015–2018, 2020–2022, 2023–2024) to trace how emotional alignments evolved. This revealed, for instance, how care and honor gradually gave way to anger and betrayal as Armenia’s perceived deference diminished, illustrating how affective recalibrations sustain Russia’s politics of deference.</w:t>
      </w:r>
    </w:p>
    <w:p w14:paraId="621AD5E2" w14:textId="00F96003" w:rsidR="006D6A7D" w:rsidRPr="00E24034" w:rsidRDefault="006D6A7D" w:rsidP="00C33B50">
      <w:pPr>
        <w:pStyle w:val="Titolo2"/>
        <w:ind w:firstLine="283"/>
      </w:pPr>
      <w:bookmarkStart w:id="61" w:name="_Toc215742674"/>
      <w:r>
        <w:t>Conclusion</w:t>
      </w:r>
      <w:bookmarkEnd w:id="61"/>
    </w:p>
    <w:p w14:paraId="313F7543" w14:textId="77777777" w:rsidR="00B66622" w:rsidRPr="00B66622" w:rsidRDefault="00B66622" w:rsidP="00B66622">
      <w:pPr>
        <w:pStyle w:val="Paragrafoelenco"/>
        <w:spacing w:before="176"/>
        <w:ind w:left="283" w:right="420" w:firstLine="360"/>
        <w:rPr>
          <w:szCs w:val="24"/>
        </w:rPr>
      </w:pPr>
      <w:r w:rsidRPr="00B66622">
        <w:rPr>
          <w:szCs w:val="24"/>
        </w:rPr>
        <w:t>This chapter has outlined the methodological architecture underpinning this dissertation, demonstrating how the research design coherently links philosophical assumptions, theoretical orientation, and empirical procedures. Anchored in an interpretivist philosophy and guided by an abductive logic of reasoning, the study approaches Russia’s self-construction as a hero-protector in the Nagorno-Karabakh conflict not as an objective fact but as a process of meaning-making embedded in discourse, memory, and emotions. This epistemological and ontological positioning enables the research to move beyond outcome-based analyses of Russian (dis)engagement and to illuminate how the politics of deference toward Armenia functions as a mechanism for sustaining Russia’s ontological security and sense of honor.</w:t>
      </w:r>
    </w:p>
    <w:p w14:paraId="6A825764" w14:textId="77777777" w:rsidR="00B66622" w:rsidRPr="00B66622" w:rsidRDefault="00B66622" w:rsidP="00B66622">
      <w:pPr>
        <w:pStyle w:val="Paragrafoelenco"/>
        <w:spacing w:before="176"/>
        <w:ind w:left="283" w:right="420" w:firstLine="360"/>
        <w:rPr>
          <w:szCs w:val="24"/>
        </w:rPr>
      </w:pPr>
      <w:r w:rsidRPr="00B66622">
        <w:rPr>
          <w:szCs w:val="24"/>
        </w:rPr>
        <w:t>The adoption of an idiographic case study design was motivated by the need for contextual depth and historical sensitivity, both of which are essential for tracing how the hero-protector narrative has evolved across distinct moments of crisis. The selection of three temporal junctures ensured that the analysis captured how emotional and symbolic dimensions of Russia’s self-perception were articulated and transformed as Armenia’s recognition of its protector role weakened. Within this framework, a multi-method qualitative design was the most appropriate choice, allowing for a layered understanding of how discourse produces, performs, and legitimizes Russia’s protector identity.</w:t>
      </w:r>
    </w:p>
    <w:p w14:paraId="255F7F2E" w14:textId="77777777" w:rsidR="00B66622" w:rsidRPr="00B66622" w:rsidRDefault="00B66622" w:rsidP="00B66622">
      <w:pPr>
        <w:pStyle w:val="Paragrafoelenco"/>
        <w:spacing w:before="176"/>
        <w:ind w:left="283" w:right="420" w:firstLine="360"/>
        <w:rPr>
          <w:szCs w:val="24"/>
        </w:rPr>
      </w:pPr>
      <w:r w:rsidRPr="00B66622">
        <w:rPr>
          <w:szCs w:val="24"/>
        </w:rPr>
        <w:t>The chapter also detailed the techniques and procedures guiding data collection, sampling, and analysis. The reliance on official and semi-official Russian sources, including government statements, media interventions, and digital content, was justified by the focus on elite-driven meaning-making and the need to capture both institutional and affective registers of discourse. Purposive sampling ensured that the selected corpus reflected the voices most influential in shaping and amplifying Russia’s self-narration as a protector. Methodologically, thematic analysis provided the initial structure for identifying how the four narrative roles (hero-protector, innocent victim, perverse aggressor, and coward) were enacted across texts, while discourse analysis, specifically EDA, revealed the affective logic that sustained or disrupted these roles.</w:t>
      </w:r>
    </w:p>
    <w:p w14:paraId="15651B49" w14:textId="28FCCCD6" w:rsidR="00B66622" w:rsidRDefault="00B66622" w:rsidP="006D6A7D">
      <w:pPr>
        <w:pStyle w:val="Paragrafoelenco"/>
        <w:spacing w:before="176"/>
        <w:ind w:left="283" w:right="420" w:firstLine="360"/>
        <w:rPr>
          <w:szCs w:val="24"/>
        </w:rPr>
      </w:pPr>
      <w:r w:rsidRPr="00B66622">
        <w:rPr>
          <w:szCs w:val="24"/>
        </w:rPr>
        <w:t>Taken together, the methodological design developed here lays the foundation for the empirical chapters that follow. It equips the dissertation with the necessary tools to explore how Russia’s protector narrative was articulated, contested, and reconfigured during successive stages of the Nagorno-Karabakh conflict, ultimately illuminating how ontological security, memory, and honor intertwine in sustaining Russia’s foreign policy discourse.</w:t>
      </w:r>
    </w:p>
    <w:p w14:paraId="7744808D" w14:textId="5FB271A5" w:rsidR="006C4F2B" w:rsidRDefault="006C4F2B" w:rsidP="005B3191">
      <w:pPr>
        <w:spacing w:before="176"/>
        <w:ind w:right="420" w:firstLine="0"/>
        <w:rPr>
          <w:szCs w:val="24"/>
        </w:rPr>
      </w:pPr>
    </w:p>
    <w:p w14:paraId="5BBEB396" w14:textId="2F2D4267" w:rsidR="00AD4774" w:rsidRDefault="00AD4774" w:rsidP="005B3191">
      <w:pPr>
        <w:spacing w:before="176"/>
        <w:ind w:right="420" w:firstLine="0"/>
        <w:rPr>
          <w:szCs w:val="24"/>
        </w:rPr>
      </w:pPr>
    </w:p>
    <w:p w14:paraId="76593398" w14:textId="38928162" w:rsidR="00AD4774" w:rsidRDefault="00AD4774" w:rsidP="005B3191">
      <w:pPr>
        <w:spacing w:before="176"/>
        <w:ind w:right="420" w:firstLine="0"/>
        <w:rPr>
          <w:szCs w:val="24"/>
        </w:rPr>
      </w:pPr>
    </w:p>
    <w:p w14:paraId="677A5B59" w14:textId="4E9E25CC" w:rsidR="00AD4774" w:rsidRDefault="00AD4774" w:rsidP="005B3191">
      <w:pPr>
        <w:spacing w:before="176"/>
        <w:ind w:right="420" w:firstLine="0"/>
        <w:rPr>
          <w:szCs w:val="24"/>
        </w:rPr>
      </w:pPr>
    </w:p>
    <w:p w14:paraId="241CE558" w14:textId="09077B0F" w:rsidR="00AD4774" w:rsidRDefault="00AD4774" w:rsidP="005B3191">
      <w:pPr>
        <w:spacing w:before="176"/>
        <w:ind w:right="420" w:firstLine="0"/>
        <w:rPr>
          <w:szCs w:val="24"/>
        </w:rPr>
      </w:pPr>
    </w:p>
    <w:p w14:paraId="7F08AF69" w14:textId="73DEB177" w:rsidR="00AD4774" w:rsidRDefault="00AD4774" w:rsidP="005B3191">
      <w:pPr>
        <w:spacing w:before="176"/>
        <w:ind w:right="420" w:firstLine="0"/>
        <w:rPr>
          <w:szCs w:val="24"/>
        </w:rPr>
      </w:pPr>
    </w:p>
    <w:p w14:paraId="414B1E89" w14:textId="27CEBF44" w:rsidR="00AD4774" w:rsidRDefault="00AD4774" w:rsidP="005B3191">
      <w:pPr>
        <w:spacing w:before="176"/>
        <w:ind w:right="420" w:firstLine="0"/>
        <w:rPr>
          <w:szCs w:val="24"/>
        </w:rPr>
      </w:pPr>
    </w:p>
    <w:p w14:paraId="418C6513" w14:textId="2C619067" w:rsidR="00AD4774" w:rsidRDefault="00AD4774" w:rsidP="005B3191">
      <w:pPr>
        <w:spacing w:before="176"/>
        <w:ind w:right="420" w:firstLine="0"/>
        <w:rPr>
          <w:szCs w:val="24"/>
        </w:rPr>
      </w:pPr>
    </w:p>
    <w:p w14:paraId="35ED997C" w14:textId="76D7BA7F" w:rsidR="00AD4774" w:rsidRDefault="00AD4774" w:rsidP="005B3191">
      <w:pPr>
        <w:spacing w:before="176"/>
        <w:ind w:right="420" w:firstLine="0"/>
        <w:rPr>
          <w:szCs w:val="24"/>
        </w:rPr>
      </w:pPr>
    </w:p>
    <w:p w14:paraId="4D1A81B0" w14:textId="0974F860" w:rsidR="00AD4774" w:rsidRDefault="00AD4774" w:rsidP="005B3191">
      <w:pPr>
        <w:spacing w:before="176"/>
        <w:ind w:right="420" w:firstLine="0"/>
        <w:rPr>
          <w:szCs w:val="24"/>
        </w:rPr>
      </w:pPr>
    </w:p>
    <w:p w14:paraId="676928BB" w14:textId="7C43F426" w:rsidR="00AD4774" w:rsidRDefault="00AD4774" w:rsidP="005B3191">
      <w:pPr>
        <w:spacing w:before="176"/>
        <w:ind w:right="420" w:firstLine="0"/>
        <w:rPr>
          <w:szCs w:val="24"/>
        </w:rPr>
      </w:pPr>
    </w:p>
    <w:p w14:paraId="55FA4380" w14:textId="644717B4" w:rsidR="00AD4774" w:rsidRDefault="00AD4774" w:rsidP="005B3191">
      <w:pPr>
        <w:spacing w:before="176"/>
        <w:ind w:right="420" w:firstLine="0"/>
        <w:rPr>
          <w:szCs w:val="24"/>
        </w:rPr>
      </w:pPr>
    </w:p>
    <w:p w14:paraId="16654802" w14:textId="1F720082" w:rsidR="00AD4774" w:rsidRDefault="00AD4774" w:rsidP="005B3191">
      <w:pPr>
        <w:spacing w:before="176"/>
        <w:ind w:right="420" w:firstLine="0"/>
        <w:rPr>
          <w:szCs w:val="24"/>
        </w:rPr>
      </w:pPr>
    </w:p>
    <w:p w14:paraId="738A30CC" w14:textId="57174A89" w:rsidR="00AD4774" w:rsidRDefault="00AD4774" w:rsidP="005B3191">
      <w:pPr>
        <w:spacing w:before="176"/>
        <w:ind w:right="420" w:firstLine="0"/>
        <w:rPr>
          <w:szCs w:val="24"/>
        </w:rPr>
      </w:pPr>
    </w:p>
    <w:p w14:paraId="33933DEA" w14:textId="73CB9E3C" w:rsidR="00AD4774" w:rsidRDefault="00AD4774" w:rsidP="005B3191">
      <w:pPr>
        <w:spacing w:before="176"/>
        <w:ind w:right="420" w:firstLine="0"/>
        <w:rPr>
          <w:szCs w:val="24"/>
        </w:rPr>
      </w:pPr>
    </w:p>
    <w:p w14:paraId="65825503" w14:textId="7680F0EF" w:rsidR="00AD4774" w:rsidRDefault="00AD4774" w:rsidP="005B3191">
      <w:pPr>
        <w:spacing w:before="176"/>
        <w:ind w:right="420" w:firstLine="0"/>
        <w:rPr>
          <w:szCs w:val="24"/>
        </w:rPr>
      </w:pPr>
    </w:p>
    <w:p w14:paraId="4BA8011A" w14:textId="415408F1" w:rsidR="00AD4774" w:rsidRDefault="00AD4774" w:rsidP="005B3191">
      <w:pPr>
        <w:spacing w:before="176"/>
        <w:ind w:right="420" w:firstLine="0"/>
        <w:rPr>
          <w:szCs w:val="24"/>
        </w:rPr>
      </w:pPr>
    </w:p>
    <w:p w14:paraId="4FE7CDC8" w14:textId="77777777" w:rsidR="00AD4774" w:rsidRPr="00B66622" w:rsidRDefault="00AD4774" w:rsidP="005B3191">
      <w:pPr>
        <w:spacing w:before="176"/>
        <w:ind w:right="420" w:firstLine="0"/>
        <w:rPr>
          <w:szCs w:val="24"/>
        </w:rPr>
      </w:pPr>
    </w:p>
    <w:p w14:paraId="0543590A" w14:textId="73E45592" w:rsidR="00D15BE1" w:rsidRDefault="00D15BE1" w:rsidP="006C4F2B">
      <w:pPr>
        <w:pStyle w:val="Titolo1"/>
      </w:pPr>
      <w:bookmarkStart w:id="62" w:name="_Toc215742675"/>
      <w:r w:rsidRPr="00561F9F">
        <w:t xml:space="preserve">5. The </w:t>
      </w:r>
      <w:r w:rsidR="00031E6D">
        <w:t>H</w:t>
      </w:r>
      <w:r w:rsidRPr="00561F9F">
        <w:t>ero-</w:t>
      </w:r>
      <w:r w:rsidR="00B70475">
        <w:t>P</w:t>
      </w:r>
      <w:r w:rsidRPr="00561F9F">
        <w:t xml:space="preserve">rotector </w:t>
      </w:r>
      <w:r w:rsidR="00031E6D">
        <w:t>C</w:t>
      </w:r>
      <w:r w:rsidRPr="00561F9F">
        <w:t>ontext</w:t>
      </w:r>
      <w:bookmarkEnd w:id="62"/>
    </w:p>
    <w:p w14:paraId="66CA9858" w14:textId="6B854470" w:rsidR="00D15BE1" w:rsidRPr="00D15BE1" w:rsidRDefault="00D15BE1" w:rsidP="00C33B50">
      <w:pPr>
        <w:pStyle w:val="Titolo2"/>
        <w:ind w:firstLine="282"/>
      </w:pPr>
      <w:bookmarkStart w:id="63" w:name="_Toc215742676"/>
      <w:r>
        <w:t>Introduction</w:t>
      </w:r>
      <w:bookmarkEnd w:id="63"/>
    </w:p>
    <w:p w14:paraId="2E80D851" w14:textId="1A13059A" w:rsidR="00D15BE1" w:rsidRDefault="00644D8F" w:rsidP="00D15BE1">
      <w:pPr>
        <w:pStyle w:val="Paragrafoelenco"/>
        <w:spacing w:before="176"/>
        <w:ind w:left="283" w:right="420" w:firstLine="360"/>
        <w:rPr>
          <w:szCs w:val="24"/>
        </w:rPr>
      </w:pPr>
      <w:r w:rsidRPr="00644D8F">
        <w:rPr>
          <w:szCs w:val="24"/>
        </w:rPr>
        <w:t>By bringing these strands together, this chapter clarified the gap that the dissertation seeks to address. Existing scholarship explains what Russia did in the Nagorno-Karabakh conflict, but not how Russia’s own historical experiences, self-understandings, and sources of ontological insecurity shaped its behavior in this context.</w:t>
      </w:r>
    </w:p>
    <w:p w14:paraId="15E1FF7C" w14:textId="77777777" w:rsidR="00D15BE1" w:rsidRDefault="00561F9F" w:rsidP="00D15BE1">
      <w:pPr>
        <w:pStyle w:val="Paragrafoelenco"/>
        <w:spacing w:before="176"/>
        <w:ind w:left="283" w:right="420" w:firstLine="360"/>
        <w:rPr>
          <w:szCs w:val="24"/>
          <w:lang w:eastAsia="it-IT"/>
        </w:rPr>
      </w:pPr>
      <w:r w:rsidRPr="00561F9F">
        <w:rPr>
          <w:szCs w:val="24"/>
          <w:lang w:eastAsia="it-IT"/>
        </w:rPr>
        <w:t>Now that the theoretical and methodological foundations underpinning Russia's pursuit of ontological security have been laid out, this chapter turns to examining Armenia's role as a significant Other in Russia's (dis)engagement in the Nagorno-Karabakh conflict, aiming to clarify that the sequences and roles that underpin the hero-protector narrative stem from Russian actors’ interpretation of the portrayal of Armenians within Russian imperial imagery. </w:t>
      </w:r>
    </w:p>
    <w:p w14:paraId="13D92F6E" w14:textId="77777777" w:rsidR="00D15BE1" w:rsidRDefault="00561F9F" w:rsidP="00D15BE1">
      <w:pPr>
        <w:pStyle w:val="Paragrafoelenco"/>
        <w:spacing w:before="176"/>
        <w:ind w:left="283" w:right="420" w:firstLine="360"/>
        <w:rPr>
          <w:szCs w:val="24"/>
          <w:lang w:eastAsia="it-IT"/>
        </w:rPr>
      </w:pPr>
      <w:r w:rsidRPr="00561F9F">
        <w:rPr>
          <w:szCs w:val="24"/>
          <w:lang w:eastAsia="it-IT"/>
        </w:rPr>
        <w:t>Accordingly, the chapter fulfills a dual purpose. First, it situates Russian-Armenian relations within the post-Soviet period, illustrating the importance of the Nagorno-Karabakh conflict in establishing an asymmetric relationship whereby Armenia adopted a dependent stance toward Russia across various domains. Second, it underscores that this dynamic should not be regarded solely because of structural constraints but also as emblematic of memory practices rooted in the notion of Russia as a protector.</w:t>
      </w:r>
    </w:p>
    <w:p w14:paraId="340EE6BB" w14:textId="4016D89E" w:rsidR="00D15BE1" w:rsidRDefault="00561F9F" w:rsidP="00D15BE1">
      <w:pPr>
        <w:pStyle w:val="Paragrafoelenco"/>
        <w:spacing w:before="176"/>
        <w:ind w:left="283" w:right="420" w:firstLine="360"/>
        <w:rPr>
          <w:szCs w:val="24"/>
          <w:lang w:eastAsia="it-IT"/>
        </w:rPr>
      </w:pPr>
      <w:r w:rsidRPr="00561F9F">
        <w:rPr>
          <w:szCs w:val="24"/>
          <w:lang w:eastAsia="it-IT"/>
        </w:rPr>
        <w:t>Historically, from the Russian Empire through the Soviet Union to the present-day Russian Federation, Russia has maintained a steadfast relationship with Armenia and its people. In the 19th century, Ivan Konstantinovich Aivazovsky, a trailblazer of Russian Romanticism from an Armenian lineage, and Armenian General Mikhail Loris-Melikov, celebrated for his contributions in the Russo-Turkish War of 1877–1878, exemplify this connection. As we progress into the 20th century, the notable contributions of Anastas and Artem Mikoyan to Soviet politics and aviation emerge. In the post-Soviet era, Russia's foreign minister, Sergey Lavrov, whose father was of Georgian-Armenian lineage, epitomizes the Russo-Armenian legacy. </w:t>
      </w:r>
      <w:r w:rsidR="00617E9A">
        <w:rPr>
          <w:rStyle w:val="Rimandonotaapidipagina"/>
          <w:szCs w:val="24"/>
          <w:lang w:eastAsia="it-IT"/>
        </w:rPr>
        <w:footnoteReference w:id="14"/>
      </w:r>
    </w:p>
    <w:p w14:paraId="398EF5D1" w14:textId="2F3DE291" w:rsidR="00D15BE1" w:rsidRDefault="00561F9F" w:rsidP="00D15BE1">
      <w:pPr>
        <w:pStyle w:val="Paragrafoelenco"/>
        <w:spacing w:before="176"/>
        <w:ind w:left="283" w:right="420" w:firstLine="360"/>
        <w:rPr>
          <w:szCs w:val="24"/>
          <w:lang w:eastAsia="it-IT"/>
        </w:rPr>
      </w:pPr>
      <w:r w:rsidRPr="00561F9F">
        <w:rPr>
          <w:szCs w:val="24"/>
          <w:lang w:eastAsia="it-IT"/>
        </w:rPr>
        <w:t>Contemporary evidence of the historical interaction between Russia and Armenia is manifested in the numerous landmarks that embellish both nations. During a visit to Saint Petersburg, it is possible to observe the white-and-blue façade of the Armenian Church of Saint Catherine, constructed in 1780 at the behest of Armenian financier Ivan Lazarev, amidst the magnificent architecture of Nevsky Prospekt. Alongside Armenian churches, numerous prominent Russian cities have witnessed the establishment of memorials and khachkars honoring the victims of the Armenian Genocide</w:t>
      </w:r>
      <w:r w:rsidR="00617E9A">
        <w:rPr>
          <w:szCs w:val="24"/>
          <w:lang w:eastAsia="it-IT"/>
        </w:rPr>
        <w:t>.</w:t>
      </w:r>
      <w:r w:rsidR="00617E9A">
        <w:rPr>
          <w:rStyle w:val="Rimandonotaapidipagina"/>
          <w:szCs w:val="24"/>
          <w:lang w:eastAsia="it-IT"/>
        </w:rPr>
        <w:footnoteReference w:id="15"/>
      </w:r>
      <w:r w:rsidR="00617E9A">
        <w:rPr>
          <w:szCs w:val="24"/>
          <w:lang w:eastAsia="it-IT"/>
        </w:rPr>
        <w:t xml:space="preserve"> </w:t>
      </w:r>
      <w:r w:rsidR="00617E9A">
        <w:rPr>
          <w:rStyle w:val="Rimandonotaapidipagina"/>
          <w:szCs w:val="24"/>
          <w:lang w:eastAsia="it-IT"/>
        </w:rPr>
        <w:footnoteReference w:id="16"/>
      </w:r>
    </w:p>
    <w:p w14:paraId="7E82BE70" w14:textId="77777777" w:rsidR="00D15BE1" w:rsidRDefault="00561F9F" w:rsidP="00D15BE1">
      <w:pPr>
        <w:pStyle w:val="Paragrafoelenco"/>
        <w:spacing w:before="176"/>
        <w:ind w:left="283" w:right="420" w:firstLine="360"/>
        <w:rPr>
          <w:szCs w:val="24"/>
          <w:lang w:eastAsia="it-IT"/>
        </w:rPr>
      </w:pPr>
      <w:r w:rsidRPr="00561F9F">
        <w:rPr>
          <w:szCs w:val="24"/>
          <w:lang w:eastAsia="it-IT"/>
        </w:rPr>
        <w:t>At the same time, Armenia hosts numerous locations and institutions with Russian nomenclature, including the Moscow Cinema, the Stanislavski Russian Drama Theatre, the Russian-Armenian University, and the Pushkin School. A statue of the Russian writer and diplomat Aleksandr Griboyedov, instrumental in the Russian Empire's expansion into the South Caucasus, is located on Tigran Mets Street in Yerevan, Armenia's capital. Adjacent to the Noy Wine Factory, a plaque commemorates the inaugural performance of his renowned comedy, “Woe from Wit” (Gore ot uma/Горе от ума 1833).  </w:t>
      </w:r>
    </w:p>
    <w:p w14:paraId="773F3676" w14:textId="77777777" w:rsidR="00D15BE1" w:rsidRDefault="00561F9F" w:rsidP="00D15BE1">
      <w:pPr>
        <w:pStyle w:val="Paragrafoelenco"/>
        <w:spacing w:before="176"/>
        <w:ind w:left="283" w:right="420" w:firstLine="360"/>
        <w:rPr>
          <w:szCs w:val="24"/>
          <w:lang w:eastAsia="it-IT"/>
        </w:rPr>
      </w:pPr>
      <w:r w:rsidRPr="00561F9F">
        <w:rPr>
          <w:szCs w:val="24"/>
          <w:lang w:eastAsia="it-IT"/>
        </w:rPr>
        <w:t>An even more prominent symbol of this connection is a nearly 5-meter-tall statue crafted from white-gray granite, illustrating two women bowing their heads in reverence to a cross while vigilantly standing guard over it. The pedestal of the monument features an inscription in Armenian and Russian, "The enduring friendship between the Armenian and Russian peoples is blessed." This statue inevitably evokes the notion of Russia as a protector, tracing back to the historical memory of the 18th, 19th, and early 20th centuries.</w:t>
      </w:r>
    </w:p>
    <w:p w14:paraId="328A8BD3" w14:textId="77777777" w:rsidR="00D15BE1" w:rsidRDefault="00561F9F" w:rsidP="00D15BE1">
      <w:pPr>
        <w:pStyle w:val="Paragrafoelenco"/>
        <w:spacing w:before="176"/>
        <w:ind w:left="283" w:right="420" w:firstLine="360"/>
        <w:rPr>
          <w:szCs w:val="24"/>
          <w:lang w:eastAsia="it-IT"/>
        </w:rPr>
      </w:pPr>
      <w:r w:rsidRPr="00561F9F">
        <w:rPr>
          <w:szCs w:val="24"/>
          <w:lang w:eastAsia="it-IT"/>
        </w:rPr>
        <w:t>As it will be seen, during this period, the Russian Empire annexed the South Caucasus, emancipating a portion of the Armenian populace from Persian and Ottoman dominion and subjecting them to the influence of a European and Christian authority. Moreover, as the Russian Empire became more embroiled in the geopolitical ramifications concerning the future and territorial integrity of the waning Ottoman Empire, Tsarist authorities often portrayed themselves as the guardians of the Christian populace under the Sublime Porte. </w:t>
      </w:r>
    </w:p>
    <w:p w14:paraId="7BCD087D" w14:textId="77777777" w:rsidR="001C5F72" w:rsidRDefault="00D15BE1" w:rsidP="001C5F72">
      <w:pPr>
        <w:keepNext/>
        <w:widowControl/>
        <w:autoSpaceDE/>
        <w:autoSpaceDN/>
        <w:spacing w:before="176"/>
        <w:ind w:left="283" w:right="420" w:firstLine="720"/>
        <w:jc w:val="center"/>
        <w:textAlignment w:val="baseline"/>
      </w:pPr>
      <w:r w:rsidRPr="00561F9F">
        <w:rPr>
          <w:smallCaps/>
          <w:noProof/>
          <w:szCs w:val="24"/>
        </w:rPr>
        <w:drawing>
          <wp:inline distT="0" distB="0" distL="0" distR="0" wp14:anchorId="4CF3FE9C" wp14:editId="477B798B">
            <wp:extent cx="4965223" cy="2794042"/>
            <wp:effectExtent l="0" t="0" r="6985" b="6350"/>
            <wp:docPr id="10" name="Immagine 10" descr="C:\Users\morena.cuconato\AppData\Local\Microsoft\Windows\INetCache\Content.MSO\90017D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orena.cuconato\AppData\Local\Microsoft\Windows\INetCache\Content.MSO\90017DC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947" cy="2803453"/>
                    </a:xfrm>
                    <a:prstGeom prst="rect">
                      <a:avLst/>
                    </a:prstGeom>
                    <a:noFill/>
                    <a:ln>
                      <a:noFill/>
                    </a:ln>
                  </pic:spPr>
                </pic:pic>
              </a:graphicData>
            </a:graphic>
          </wp:inline>
        </w:drawing>
      </w:r>
    </w:p>
    <w:p w14:paraId="63EA547E" w14:textId="14036AFF" w:rsidR="00D15BE1" w:rsidRPr="001C5F72" w:rsidRDefault="001C5F72" w:rsidP="001C5F72">
      <w:pPr>
        <w:pStyle w:val="Didascalia"/>
        <w:jc w:val="center"/>
        <w:rPr>
          <w:color w:val="auto"/>
          <w:sz w:val="20"/>
          <w:szCs w:val="20"/>
          <w:lang w:eastAsia="it-IT"/>
        </w:rPr>
      </w:pPr>
      <w:bookmarkStart w:id="64" w:name="_Toc215742698"/>
      <w:r w:rsidRPr="001C5F72">
        <w:rPr>
          <w:color w:val="auto"/>
          <w:sz w:val="20"/>
          <w:szCs w:val="20"/>
        </w:rPr>
        <w:t xml:space="preserve">Figure </w:t>
      </w:r>
      <w:r w:rsidRPr="001C5F72">
        <w:rPr>
          <w:color w:val="auto"/>
          <w:sz w:val="20"/>
          <w:szCs w:val="20"/>
        </w:rPr>
        <w:fldChar w:fldCharType="begin"/>
      </w:r>
      <w:r w:rsidRPr="001C5F72">
        <w:rPr>
          <w:color w:val="auto"/>
          <w:sz w:val="20"/>
          <w:szCs w:val="20"/>
        </w:rPr>
        <w:instrText xml:space="preserve"> SEQ Figure \* ARABIC </w:instrText>
      </w:r>
      <w:r w:rsidRPr="001C5F72">
        <w:rPr>
          <w:color w:val="auto"/>
          <w:sz w:val="20"/>
          <w:szCs w:val="20"/>
        </w:rPr>
        <w:fldChar w:fldCharType="separate"/>
      </w:r>
      <w:r w:rsidR="003A2B4A">
        <w:rPr>
          <w:noProof/>
          <w:color w:val="auto"/>
          <w:sz w:val="20"/>
          <w:szCs w:val="20"/>
        </w:rPr>
        <w:t>3</w:t>
      </w:r>
      <w:r w:rsidRPr="001C5F72">
        <w:rPr>
          <w:color w:val="auto"/>
          <w:sz w:val="20"/>
          <w:szCs w:val="20"/>
        </w:rPr>
        <w:fldChar w:fldCharType="end"/>
      </w:r>
      <w:r w:rsidRPr="001C5F72">
        <w:rPr>
          <w:color w:val="auto"/>
          <w:sz w:val="20"/>
          <w:szCs w:val="20"/>
        </w:rPr>
        <w:t>: Monument "The centuries-old friendship between the Armenian and Russian peoples is blessed” in Central Yerevan. (Source: Visit Yerevan)</w:t>
      </w:r>
      <w:bookmarkEnd w:id="64"/>
    </w:p>
    <w:p w14:paraId="0CAE6DE4" w14:textId="77777777" w:rsidR="00D15BE1" w:rsidRDefault="00561F9F" w:rsidP="00D15BE1">
      <w:pPr>
        <w:pStyle w:val="Paragrafoelenco"/>
        <w:spacing w:before="176"/>
        <w:ind w:left="283" w:right="420" w:firstLine="360"/>
        <w:rPr>
          <w:szCs w:val="24"/>
          <w:lang w:eastAsia="it-IT"/>
        </w:rPr>
      </w:pPr>
      <w:r w:rsidRPr="00561F9F">
        <w:rPr>
          <w:szCs w:val="24"/>
          <w:lang w:eastAsia="it-IT"/>
        </w:rPr>
        <w:t>Thus, the chapter is structured as follows. The first section traces the evolution of Russian–Armenian relations from the collapse of the Soviet Union to the end of the Nagorno-Karabakh conflict, focusing on the structural constraints that bound Yerevan to Moscow and steered Armenia’s foreign policy along a Russia-favorable trajectory. The second section historically contextualizes the emergence and consolidation of the protector image despite moments of tension and alienation between the two sides. </w:t>
      </w:r>
    </w:p>
    <w:p w14:paraId="7E2980E2" w14:textId="2A412C54" w:rsidR="00D15BE1" w:rsidRPr="00D15BE1" w:rsidRDefault="00D15BE1" w:rsidP="00C33B50">
      <w:pPr>
        <w:pStyle w:val="Titolo2"/>
        <w:ind w:firstLine="283"/>
      </w:pPr>
      <w:bookmarkStart w:id="65" w:name="_Toc215742677"/>
      <w:r w:rsidRPr="00561F9F">
        <w:t>5.</w:t>
      </w:r>
      <w:r>
        <w:t xml:space="preserve">1. Anatomy of an </w:t>
      </w:r>
      <w:r w:rsidR="00031E6D">
        <w:t>A</w:t>
      </w:r>
      <w:r>
        <w:t xml:space="preserve">symmetric </w:t>
      </w:r>
      <w:r w:rsidR="00031E6D">
        <w:t>A</w:t>
      </w:r>
      <w:r>
        <w:t>lliance</w:t>
      </w:r>
      <w:bookmarkEnd w:id="65"/>
    </w:p>
    <w:p w14:paraId="27058D8F" w14:textId="77777777" w:rsidR="00D15BE1" w:rsidRDefault="00561F9F" w:rsidP="00D15BE1">
      <w:pPr>
        <w:pStyle w:val="Paragrafoelenco"/>
        <w:spacing w:before="176"/>
        <w:ind w:left="283" w:right="420" w:firstLine="360"/>
        <w:rPr>
          <w:szCs w:val="24"/>
          <w:lang w:eastAsia="it-IT"/>
        </w:rPr>
      </w:pPr>
      <w:r w:rsidRPr="00561F9F">
        <w:rPr>
          <w:szCs w:val="24"/>
          <w:lang w:eastAsia="it-IT"/>
        </w:rPr>
        <w:t xml:space="preserve">Since the collapse of the Soviet Union, Russia’s relations with countries in the South Caucasus have displayed differing dynamics. Unlike Georgia and Azerbaijan, which have sought closer ties with the USA, the EU, and Turkey, Armenia was the only country in the region that maintained a stable and relatively positive relationship with Moscow throughout </w:t>
      </w:r>
      <w:r w:rsidRPr="00561F9F">
        <w:rPr>
          <w:i/>
          <w:iCs/>
          <w:szCs w:val="24"/>
          <w:lang w:eastAsia="it-IT"/>
        </w:rPr>
        <w:t xml:space="preserve">most </w:t>
      </w:r>
      <w:r w:rsidRPr="00561F9F">
        <w:rPr>
          <w:szCs w:val="24"/>
          <w:lang w:eastAsia="it-IT"/>
        </w:rPr>
        <w:t>of this period. It is generally assessed that Russia plays a unique role in shaping Armenia's foreign and security policy, whereas Armenia holds a significant position within Russia’s South Caucasus policy (Minasyan 2013, 1). </w:t>
      </w:r>
    </w:p>
    <w:p w14:paraId="475A602E" w14:textId="77777777" w:rsidR="00D15BE1" w:rsidRDefault="00561F9F" w:rsidP="00D15BE1">
      <w:pPr>
        <w:pStyle w:val="Paragrafoelenco"/>
        <w:spacing w:before="176"/>
        <w:ind w:left="283" w:right="420" w:firstLine="360"/>
        <w:rPr>
          <w:szCs w:val="24"/>
          <w:lang w:eastAsia="it-IT"/>
        </w:rPr>
      </w:pPr>
      <w:r w:rsidRPr="00561F9F">
        <w:rPr>
          <w:szCs w:val="24"/>
          <w:lang w:eastAsia="it-IT"/>
        </w:rPr>
        <w:t>Officially, Armenia has adopted a foreign policy of “complementarism,” which aims to sustain national security and foster the development of the Caucasian republic by balancing its strategic partnerships with Russia while promoting diverse political, economic, and cultural engagements with the EU and the US (Atanesyan et al. 2023, 261). However, if Yerevan’s discourse has positioned the West as its civilizational choice and normative ally, these sentiments were often overshadowed by the more strategically significant relationship with Moscow (Papazian 2006; Mirzoyan 2010, Terzyan 2018). Officially, Russia and Armenia "have close allied relations marked by frequent bilateral visits at the high and highest levels" (Ministry of Foreign Affairs of the Republic of Armenia 2023). </w:t>
      </w:r>
    </w:p>
    <w:p w14:paraId="22156D2D" w14:textId="77777777" w:rsidR="00D15BE1" w:rsidRDefault="00561F9F" w:rsidP="00D15BE1">
      <w:pPr>
        <w:pStyle w:val="Paragrafoelenco"/>
        <w:spacing w:before="176"/>
        <w:ind w:left="283" w:right="420" w:firstLine="360"/>
        <w:rPr>
          <w:szCs w:val="24"/>
          <w:lang w:eastAsia="it-IT"/>
        </w:rPr>
      </w:pPr>
      <w:r w:rsidRPr="00561F9F">
        <w:rPr>
          <w:szCs w:val="24"/>
          <w:lang w:eastAsia="it-IT"/>
        </w:rPr>
        <w:t>The "strategic partnership" between the two nations was solidified through Yerevan's memberships in the CSTO since 2002 and the EAEU since 2015 (Suchkov 2018, 316). These organizations are traditionally viewed as foreign policy instruments that the Kremlin uses to secure the alignment of loyal regimes in post-Soviet Eurasia (Frost 2009; Cornell 2017; Davidzon 2022). Mirzoyan (2010, 38) writes that “close partnership with Moscow seemed so organic among ordinary Armenians that some even called to join the Russia-Belarus union.” For this reason, Armenia came to be defined by some observers as Russia’s “prime geopolitical beacon” (Suchkov 2018, 316) or “outpost” (Minasyan 2013, 1) in the South Caucasus. </w:t>
      </w:r>
    </w:p>
    <w:p w14:paraId="1D5D5259" w14:textId="500417E3" w:rsidR="00D15BE1" w:rsidRDefault="00561F9F" w:rsidP="00D15BE1">
      <w:pPr>
        <w:pStyle w:val="Paragrafoelenco"/>
        <w:spacing w:before="176"/>
        <w:ind w:left="283" w:right="420" w:firstLine="360"/>
        <w:rPr>
          <w:szCs w:val="24"/>
          <w:lang w:eastAsia="it-IT"/>
        </w:rPr>
      </w:pPr>
      <w:r w:rsidRPr="00561F9F">
        <w:rPr>
          <w:szCs w:val="24"/>
          <w:lang w:eastAsia="it-IT"/>
        </w:rPr>
        <w:t>Overall, the literature converges on the view that Armenia's choice to participate in Russia-led organizations is closely connected to the role the Kremlin played during the Nagorno-Karabakh conflict (Terzyan 2018; Abushov 2019; Broers 2019; De Waal 2019; Çakmak &amp; Özşahin 2023). Moscow, on the one hand, provided Yerevan with crucial weapon systems to maintain military balance against Azerbaijan (Abushov 2019). On the other hand, Russia acted as the primary mediator in the conflict, both unilaterally and through the OSCE Minsk Group (Abushov 2019; De Waal 2019). Furthermore, the Nagorno-Karabakh conflict significantly shaped Armenia's perceptions of its allies and adversaries. While Azerbaijan and Turkey were unmistakably considered enemies, the necessity to counter their hostilities and safeguard national security made Yerevan consider Russia a crucial security ally (Terzyan 2018, 6). </w:t>
      </w:r>
    </w:p>
    <w:p w14:paraId="19A3D66B" w14:textId="77777777" w:rsidR="00FA1D5F" w:rsidRDefault="00561F9F" w:rsidP="00FA1D5F">
      <w:pPr>
        <w:pStyle w:val="Paragrafoelenco"/>
        <w:spacing w:before="176"/>
        <w:ind w:left="283" w:right="420" w:firstLine="360"/>
        <w:rPr>
          <w:szCs w:val="24"/>
          <w:lang w:eastAsia="it-IT"/>
        </w:rPr>
      </w:pPr>
      <w:r w:rsidRPr="00561F9F">
        <w:rPr>
          <w:szCs w:val="24"/>
          <w:lang w:eastAsia="it-IT"/>
        </w:rPr>
        <w:t>A central argument within the literature posits that Russian-Armenian relations form an asymmetric alliance, where Yerevan serves as Moscow's subordinate partner rather than an equal counterpart (Çakmak &amp; Özşahin 2023, 975). In return for the support it receives, Armenia aligns itself with Russia to advance its own global and regional objectives. For example, in 2019, Armenia assisted Russia in its military operation in Syria by sending a humanitarian mission to Aleppo (Ter-Matevosyan &amp; Mkrtchyan 2021, 211). In January 2022, at the request of the CSTO, the Armenian authorities deployed troops to assist in suppressing anti-government protests in Kazakhstan (OC Media 2022). In February 2022, shortly after the onset of Russia's full-scale invasion of Ukraine, Armenia was the sole member of the Council of Europe to support the Kremlin's delegation by voting against its suspension from the organization (OC Media 2022). Then, in March, Yerevan, along with 35 other countries, decided to abstain during the United Nations (UN) General Assembly emergency session that discussed a resolution condemning Russia's military action in Ukraine (Asbarez 2022). </w:t>
      </w:r>
    </w:p>
    <w:p w14:paraId="3FDE6ECE" w14:textId="77777777" w:rsidR="00FA1D5F" w:rsidRDefault="00561F9F" w:rsidP="00FA1D5F">
      <w:pPr>
        <w:pStyle w:val="Paragrafoelenco"/>
        <w:spacing w:before="176"/>
        <w:ind w:left="283" w:right="420" w:firstLine="360"/>
        <w:rPr>
          <w:szCs w:val="24"/>
          <w:lang w:eastAsia="it-IT"/>
        </w:rPr>
      </w:pPr>
      <w:r w:rsidRPr="00561F9F">
        <w:rPr>
          <w:szCs w:val="24"/>
          <w:lang w:eastAsia="it-IT"/>
        </w:rPr>
        <w:t>In this context, the Nagorno-Karabakh conflict emerged as a significant tool of influence at Russia’s disposal. On one side, it constrained Armenia's foreign policy, particularly when Yerevan attempted to free itself from Moscow's dominant influence (Abushov 2019, 83). On the other side, it enabled Moscow to establish a strong economic foothold and military presence in the Caucasian republic (Terzyan 2018; Broers 2019; De Waal 2019). </w:t>
      </w:r>
    </w:p>
    <w:p w14:paraId="519017E6" w14:textId="77777777" w:rsidR="00FA1D5F" w:rsidRDefault="00561F9F" w:rsidP="00FA1D5F">
      <w:pPr>
        <w:pStyle w:val="Paragrafoelenco"/>
        <w:spacing w:before="176"/>
        <w:ind w:left="283" w:right="420" w:firstLine="360"/>
        <w:rPr>
          <w:szCs w:val="24"/>
          <w:lang w:eastAsia="it-IT"/>
        </w:rPr>
      </w:pPr>
      <w:r w:rsidRPr="00561F9F">
        <w:rPr>
          <w:szCs w:val="24"/>
          <w:lang w:eastAsia="it-IT"/>
        </w:rPr>
        <w:t>A notable increase in both scholarly and non-scholarly contributions regarding the implications of this asymmetric alliance has emerged due to significant political changes in Armenia following the 2018 "Velvet Revolution" that led Nikol Pashinyan to power (Abushov 2019; Terzyan 2023), as well as the geopolitical shifts that occurred in the South Caucasus after the 2020 Second Karabakh War (Broers 2023; Atanesyan et al. 2024; Landgraf &amp; Seferyan 2024). </w:t>
      </w:r>
    </w:p>
    <w:p w14:paraId="3A47F110" w14:textId="77777777" w:rsidR="00FA1D5F" w:rsidRDefault="00561F9F" w:rsidP="00FA1D5F">
      <w:pPr>
        <w:pStyle w:val="Paragrafoelenco"/>
        <w:spacing w:before="176"/>
        <w:ind w:left="283" w:right="420" w:firstLine="360"/>
        <w:rPr>
          <w:szCs w:val="24"/>
          <w:lang w:eastAsia="it-IT"/>
        </w:rPr>
      </w:pPr>
      <w:r w:rsidRPr="00561F9F">
        <w:rPr>
          <w:szCs w:val="24"/>
          <w:lang w:eastAsia="it-IT"/>
        </w:rPr>
        <w:t>Since then, relations between Armenia and Russia have gradually deteriorated. A poll by the Levada Center in Russia in September 2023 showed that positive feelings about Armenia among Russians have dropped from 79% in 2016 to 53% over the past seven years. At the same time, a survey conducted in Armenia by the International Republican Institute (IRI) in March 2024 revealed that 66% of the Armenian population views Russia as a threat to their country’s security and political stability.  </w:t>
      </w:r>
    </w:p>
    <w:p w14:paraId="519D8964" w14:textId="77777777" w:rsidR="00FA1D5F" w:rsidRDefault="00561F9F" w:rsidP="00FA1D5F">
      <w:pPr>
        <w:pStyle w:val="Paragrafoelenco"/>
        <w:spacing w:before="176"/>
        <w:ind w:left="283" w:right="420" w:firstLine="360"/>
        <w:rPr>
          <w:szCs w:val="24"/>
          <w:lang w:eastAsia="it-IT"/>
        </w:rPr>
      </w:pPr>
      <w:r w:rsidRPr="00561F9F">
        <w:rPr>
          <w:szCs w:val="24"/>
          <w:lang w:eastAsia="it-IT"/>
        </w:rPr>
        <w:t>The Kremlin's lack of action during the Azerbaijani military incursions into Armenian territory in 2021 and 2022, despite its security commitments to Yerevan, was particularly consequential. Additionally, the inability of Russian peacekeepers to prevent Azerbaijan's decisive offensive in Nagorno-Karabakh in September 2023 represented a breakthrough for Armenian society. </w:t>
      </w:r>
    </w:p>
    <w:p w14:paraId="2C88099E" w14:textId="77777777" w:rsidR="00FA1D5F" w:rsidRDefault="00561F9F" w:rsidP="00FA1D5F">
      <w:pPr>
        <w:pStyle w:val="Paragrafoelenco"/>
        <w:spacing w:before="176"/>
        <w:ind w:left="283" w:right="420" w:firstLine="360"/>
        <w:rPr>
          <w:szCs w:val="24"/>
          <w:lang w:eastAsia="it-IT"/>
        </w:rPr>
      </w:pPr>
      <w:r w:rsidRPr="00561F9F">
        <w:rPr>
          <w:szCs w:val="24"/>
          <w:lang w:eastAsia="it-IT"/>
        </w:rPr>
        <w:t>In light of these events, the Armenian government has rethought its relationship with Moscow and tried to strengthen its ties with the EU and the US (De Waal 2023; Broers 2023). In early 2023, the EU increased its presence in the South Caucasus by actively engaging the Special Representative for the region and, at Armenia's request, deploying a civil monitoring mission along the Armenian-Azerbaijani border (De Waal 2023). In September 2023, one week before the Azerbaijani military operation in Nagorno-Karabakh, US and Armenian forces conducted the "Eagle Partner" joint military exercise near Yerevan (Landgraf &amp; Seferyan 2024). During the same period, Armenian Prime Minister Nikol Pashinyan stated in an interview that the country's heavy reliance on Russian security assistance had been a "strategic mistake" (Steinmann 2023). </w:t>
      </w:r>
    </w:p>
    <w:p w14:paraId="1E5F1523" w14:textId="77777777" w:rsidR="00FA1D5F" w:rsidRDefault="00561F9F" w:rsidP="00FA1D5F">
      <w:pPr>
        <w:pStyle w:val="Paragrafoelenco"/>
        <w:spacing w:before="176"/>
        <w:ind w:left="283" w:right="420" w:firstLine="360"/>
        <w:rPr>
          <w:szCs w:val="24"/>
          <w:lang w:eastAsia="it-IT"/>
        </w:rPr>
      </w:pPr>
      <w:r w:rsidRPr="00561F9F">
        <w:rPr>
          <w:szCs w:val="24"/>
          <w:lang w:eastAsia="it-IT"/>
        </w:rPr>
        <w:t>At a press conference in February 2024, he also announced that Armenia would suspend its participation in the CSTO (OC Media 2024). Following this decision, Yerevan opted out of the organization's military exercises, summits, and funding contributions, with the aim of eventually exiting the alliance altogether. A month later, Armenian authorities requested the withdrawal of Russian border guards from Zvartnots Airport and the Armenian-Iranian border (RFERL 2024).  In June 2024, he stated that Armenia would formally withdraw from the CSTO (DW 2024). </w:t>
      </w:r>
    </w:p>
    <w:p w14:paraId="56678275" w14:textId="77777777" w:rsidR="00FA1D5F" w:rsidRDefault="00561F9F" w:rsidP="00FA1D5F">
      <w:pPr>
        <w:pStyle w:val="Paragrafoelenco"/>
        <w:spacing w:before="176"/>
        <w:ind w:left="283" w:right="420" w:firstLine="360"/>
        <w:rPr>
          <w:szCs w:val="24"/>
          <w:lang w:eastAsia="it-IT"/>
        </w:rPr>
      </w:pPr>
      <w:r w:rsidRPr="00561F9F">
        <w:rPr>
          <w:szCs w:val="24"/>
          <w:lang w:eastAsia="it-IT"/>
        </w:rPr>
        <w:t>Meanwhile, Pashinyan also claimed, though without naming them directly, that both Russia and Belarus had supported Azerbaijan's efforts to regain control of Nagorno-Karabakh (Avetisyan 2024). In September 2024, Armenian authorities accused Russia of plotting an armed coup to seize power in Armenia through the “Arbat” Battalion (Hambardzumyan 2024). The term "Arbat" is a diminutive of "Armenian Battalion" (Armyanskij Batal’on/Армянский батальон) and refers to an operational unit composed of soldiers of Armenian and Nagorno-Karabakh origin, who have fought alongside Russian forces in Ukraine while operating under the Armenian flag (Hambardzumyan 2024). In June 2023, the unit formalized an agreement with the Russian Ministry of Defense after a ceremonial establishment at the Armenian Apostolic Church in Moscow. During this event, the "Arbat" Battalion received a blessing from Archbishop Ezras, head of the Russian Diocese of the Armenian Apostolic Church and brother of Garegin II, the Catholicos of All Armenians (Realtribune 2023).</w:t>
      </w:r>
    </w:p>
    <w:p w14:paraId="38254B2F" w14:textId="08F6C614" w:rsidR="00FA1D5F" w:rsidRPr="00681368" w:rsidRDefault="00FA1D5F" w:rsidP="00C33B50">
      <w:pPr>
        <w:pStyle w:val="Titolo3"/>
        <w:ind w:firstLine="283"/>
      </w:pPr>
      <w:bookmarkStart w:id="66" w:name="_Toc215742678"/>
      <w:r w:rsidRPr="00681368">
        <w:t>5.1.1. Economy</w:t>
      </w:r>
      <w:bookmarkEnd w:id="66"/>
    </w:p>
    <w:p w14:paraId="7EB5F5D3" w14:textId="77777777" w:rsidR="00FA1D5F" w:rsidRDefault="00561F9F" w:rsidP="00FA1D5F">
      <w:pPr>
        <w:pStyle w:val="Paragrafoelenco"/>
        <w:spacing w:before="176"/>
        <w:ind w:left="283" w:right="420" w:firstLine="360"/>
        <w:rPr>
          <w:szCs w:val="24"/>
          <w:lang w:eastAsia="it-IT"/>
        </w:rPr>
      </w:pPr>
      <w:r w:rsidRPr="00561F9F">
        <w:rPr>
          <w:szCs w:val="24"/>
          <w:lang w:eastAsia="it-IT"/>
        </w:rPr>
        <w:t>Observers tend to analyze Armenia's economic dependence on Russia as a pivotal factor influencing Russian-Armenian relations. This dependence manifests in two key aspects. The first concerns Russia’s role as Armenia's primary external trade partner. According to data from 2023, Moscow was responsible for more than forty-nine percent of Armenian exports (Terzyan 2023, 6). Despite the decline in political relations, bilateral trade between Moscow and Yerevan has steadily increased.</w:t>
      </w:r>
    </w:p>
    <w:p w14:paraId="4D79F029" w14:textId="73A17E82" w:rsidR="00FA1D5F" w:rsidRDefault="00561F9F" w:rsidP="00FA1D5F">
      <w:pPr>
        <w:pStyle w:val="Paragrafoelenco"/>
        <w:spacing w:before="176"/>
        <w:ind w:left="283" w:right="420" w:firstLine="360"/>
        <w:rPr>
          <w:szCs w:val="24"/>
          <w:lang w:eastAsia="it-IT"/>
        </w:rPr>
      </w:pPr>
      <w:r w:rsidRPr="00561F9F">
        <w:rPr>
          <w:szCs w:val="24"/>
          <w:lang w:eastAsia="it-IT"/>
        </w:rPr>
        <w:t>Following the imposition of sanctions on Russia by the EU and the US in response to its full-scale invasion of Ukraine, Armenia has emerged as a key conduit for Western goods entering Russia. In 2022, trade between Armenia and Russia almost doubled, totaling $5.3 billion (Mgdesyan 2023). Armenia's exports to Russia rose nearly threefold, increasing from $850 million in 2021 to $2.4 billion in 2022 (Mgdesyan 2023). The total trade volume from January to August 2023 exceeded $4.16 billion, marking the highest level recorded since the dissolution of the Soviet Union (Mgdesyan 2023). In this context, Armenia's accession to the EAEU has provided several economic advantages, including exemptions from customs duties on certain goods and improved conditions for Armenian migrant workers. However, the Russian factor has become such a dominant force in the Armenian economy that any development affecting Russia, including sanctions and economic fluctuations, has significant reverberations within the Caucasian nation (</w:t>
      </w:r>
      <w:r w:rsidR="00CF391D">
        <w:rPr>
          <w:szCs w:val="24"/>
          <w:lang w:eastAsia="it-IT"/>
        </w:rPr>
        <w:t>Markosyan</w:t>
      </w:r>
      <w:r w:rsidRPr="00561F9F">
        <w:rPr>
          <w:szCs w:val="24"/>
          <w:lang w:eastAsia="it-IT"/>
        </w:rPr>
        <w:t xml:space="preserve"> 2023).</w:t>
      </w:r>
    </w:p>
    <w:p w14:paraId="2E20B58F" w14:textId="77777777" w:rsidR="00FA1D5F" w:rsidRDefault="00561F9F" w:rsidP="00FA1D5F">
      <w:pPr>
        <w:pStyle w:val="Paragrafoelenco"/>
        <w:spacing w:before="176"/>
        <w:ind w:left="283" w:right="420" w:firstLine="360"/>
        <w:rPr>
          <w:szCs w:val="24"/>
          <w:lang w:eastAsia="it-IT"/>
        </w:rPr>
      </w:pPr>
      <w:r w:rsidRPr="00561F9F">
        <w:rPr>
          <w:szCs w:val="24"/>
          <w:lang w:eastAsia="it-IT"/>
        </w:rPr>
        <w:t>The second aspect involves Moscow's control over critical sectors of Yerevan's economy. Since the early 2000s, the Kremlin has increased its dominance over Armenia's energy, industrial, telecommunications, and banking sectors through a series of equity-for-debt agreements (Broers 2019; Terzyan 2023). In addition to holding a near monopoly on the export of essential commodities to Armenia, such as grain (Mgdesyan 2023), Russian multinational corporations—including Gazprom Armenia, VTB Armenia, and MTS Armenia—rank among the largest taxpayers in the country (Terzyan 2023, 6). Gazprom Armenia, the local subsidiary of the Russian state-owned gas corporation Gazprom, entirely controls the gas distribution infrastructure in Armenia, which includes also the pipeline connecting the country to Iran (Markosyan 2023). </w:t>
      </w:r>
    </w:p>
    <w:p w14:paraId="1B8C97D2" w14:textId="77777777" w:rsidR="00FA1D5F" w:rsidRDefault="00561F9F" w:rsidP="00FA1D5F">
      <w:pPr>
        <w:pStyle w:val="Paragrafoelenco"/>
        <w:spacing w:before="176"/>
        <w:ind w:left="283" w:right="420" w:firstLine="360"/>
        <w:rPr>
          <w:szCs w:val="24"/>
          <w:lang w:eastAsia="it-IT"/>
        </w:rPr>
      </w:pPr>
      <w:r w:rsidRPr="00561F9F">
        <w:rPr>
          <w:szCs w:val="24"/>
          <w:lang w:eastAsia="it-IT"/>
        </w:rPr>
        <w:t>The Kremlin has strategically wielded this "energy weapon" to manipulate gas prices and exert political influence over the Armenian government (Markosyan 2023; Terzyan 2023). For example, in 2006 Russia raised gas prices for Armenia, prompting huge discontent within the Caucasian republic. To secure a low-cost supply of $110 per 1,000 cubic meters until 2009, the Armenian government had to cede a 40-kilometer section of its pipeline connecting to Iran, which at that time was its only feasible alternative for energy supplies beyond those provided by Russia (Kramer 2008).  </w:t>
      </w:r>
    </w:p>
    <w:p w14:paraId="6279B17A" w14:textId="77777777" w:rsidR="00FA1D5F" w:rsidRDefault="00561F9F" w:rsidP="00FA1D5F">
      <w:pPr>
        <w:pStyle w:val="Paragrafoelenco"/>
        <w:spacing w:before="176"/>
        <w:ind w:left="283" w:right="420" w:firstLine="360"/>
        <w:rPr>
          <w:szCs w:val="24"/>
          <w:lang w:eastAsia="it-IT"/>
        </w:rPr>
      </w:pPr>
      <w:r w:rsidRPr="00561F9F">
        <w:rPr>
          <w:szCs w:val="24"/>
          <w:lang w:eastAsia="it-IT"/>
        </w:rPr>
        <w:t>Moscow's influence on the energy sector of the Caucasian republic goes well beyond the control of natural gas pipelines. Although Yerevan is officially deemed self-sufficient in electricity, generating nearly 98 percent of its supply domestically, the reality is more complex (Markosyan 2023). Since electricity in the Caucasian Republic is produced through hydropower, thermal plants, and the Metsamor Nuclear Power Plant, it should not be forgotten that the latter relies exclusively on uranium imported from Russia, while the thermal power plants are largely dependent on natural gas, also imported from Russia (Shahverdyan 2023).  </w:t>
      </w:r>
    </w:p>
    <w:p w14:paraId="076F8A80" w14:textId="77777777" w:rsidR="00FA1D5F" w:rsidRDefault="00561F9F" w:rsidP="00FA1D5F">
      <w:pPr>
        <w:pStyle w:val="Paragrafoelenco"/>
        <w:spacing w:before="176"/>
        <w:ind w:left="283" w:right="420" w:firstLine="360"/>
        <w:rPr>
          <w:szCs w:val="24"/>
          <w:lang w:eastAsia="it-IT"/>
        </w:rPr>
      </w:pPr>
      <w:r w:rsidRPr="00561F9F">
        <w:rPr>
          <w:szCs w:val="24"/>
          <w:lang w:eastAsia="it-IT"/>
        </w:rPr>
        <w:t>Furthermore, in 2002 Russia acquired a majority stake in the Hrazdan thermal plant (Broers 2019, 188). The following year, Armenia ratified an agreement that allowed the Russian company RAO Unified Energy Systems (UES) to assume financial control of the Metsamor nuclear power plant, which is responsible for approximately 40 percent of Armenia's electricity production (Shahverdyan 2023), as well as several hydroelectric stations. Additionally, in 2004, the two parties formalized an agreement granting Russia control over the Nairit chemical plant (Broers 2019, 188). In this way, Russia acquired about 90 percent of Armenia's power generation capacity (Terzyan 2018, 237).</w:t>
      </w:r>
    </w:p>
    <w:p w14:paraId="0986D027" w14:textId="5228DA4A" w:rsidR="00FA1D5F" w:rsidRDefault="00561F9F" w:rsidP="00FA1D5F">
      <w:pPr>
        <w:pStyle w:val="Paragrafoelenco"/>
        <w:spacing w:before="176"/>
        <w:ind w:left="283" w:right="420" w:firstLine="360"/>
        <w:rPr>
          <w:szCs w:val="24"/>
          <w:lang w:eastAsia="it-IT"/>
        </w:rPr>
      </w:pPr>
      <w:r w:rsidRPr="00561F9F">
        <w:rPr>
          <w:szCs w:val="24"/>
          <w:lang w:eastAsia="it-IT"/>
        </w:rPr>
        <w:t>Energy and trade are not the only assets that allow the Kremlin to have such a significant economic influence on Armenia. In 2008, for instance, Russian Railways was awarded a 30-year contract to manage Armenia's railway system, having been the only bidder in a government tender, with an option for a 10-year extension (Mejlumyan 202</w:t>
      </w:r>
      <w:r w:rsidR="005B524E">
        <w:rPr>
          <w:szCs w:val="24"/>
          <w:lang w:eastAsia="it-IT"/>
        </w:rPr>
        <w:t>1</w:t>
      </w:r>
      <w:r w:rsidRPr="00561F9F">
        <w:rPr>
          <w:szCs w:val="24"/>
          <w:lang w:eastAsia="it-IT"/>
        </w:rPr>
        <w:t>). During a meeting with Oleg Belozerov, Chairman of Russian Railways, in 2016, then Armenian President Serzh Sargsyan expressed his appreciation for this arrangement and emphasized its importance as a key aspect of Russian-Armenian relations (President of Armenia 2016).</w:t>
      </w:r>
    </w:p>
    <w:p w14:paraId="1391C476" w14:textId="77777777" w:rsidR="00FA1D5F" w:rsidRDefault="00561F9F" w:rsidP="00FA1D5F">
      <w:pPr>
        <w:pStyle w:val="Paragrafoelenco"/>
        <w:spacing w:before="176"/>
        <w:ind w:left="283" w:right="420" w:firstLine="360"/>
        <w:rPr>
          <w:szCs w:val="24"/>
          <w:lang w:eastAsia="it-IT"/>
        </w:rPr>
      </w:pPr>
      <w:r w:rsidRPr="00561F9F">
        <w:rPr>
          <w:szCs w:val="24"/>
          <w:lang w:eastAsia="it-IT"/>
        </w:rPr>
        <w:t>Two interpretations are offered to understand the rationale behind Armenia's economic dependence on Russia. On Moscow's side, the concept of "geoeconomic realism" is commonly referenced in the literature to explain Russian policy priorities regarding post-Soviet countries since the early years of Putin's presidency (Thorun 2009; Terzyan 2018). This perspective suggests that the Russian leadership at that time viewed international and regional affairs as a geopolitical contest for spheres of influence and, more critically, as a struggle for access to markets (Thorun 2009, 10). </w:t>
      </w:r>
    </w:p>
    <w:p w14:paraId="47D890A1" w14:textId="68B6AF54" w:rsidR="00FA1D5F" w:rsidRDefault="00561F9F" w:rsidP="00FA1D5F">
      <w:pPr>
        <w:pStyle w:val="Paragrafoelenco"/>
        <w:spacing w:before="176"/>
        <w:ind w:left="283" w:right="420" w:firstLine="360"/>
        <w:rPr>
          <w:szCs w:val="24"/>
          <w:lang w:eastAsia="it-IT"/>
        </w:rPr>
      </w:pPr>
      <w:r w:rsidRPr="00561F9F">
        <w:rPr>
          <w:szCs w:val="24"/>
          <w:lang w:eastAsia="it-IT"/>
        </w:rPr>
        <w:t>On Yerevan's side, the material weakness of the Caucasian nation has been considered a key factor in provoking Russian coercive actions (Minasyan 2013;</w:t>
      </w:r>
      <w:r w:rsidR="005B524E">
        <w:rPr>
          <w:szCs w:val="24"/>
          <w:lang w:eastAsia="it-IT"/>
        </w:rPr>
        <w:t xml:space="preserve"> Delcour 2015;</w:t>
      </w:r>
      <w:r w:rsidRPr="00561F9F">
        <w:rPr>
          <w:szCs w:val="24"/>
          <w:lang w:eastAsia="it-IT"/>
        </w:rPr>
        <w:t xml:space="preserve"> Ter-Matevosyan et al. 2017). Since the conclusion of the First Karabakh War in 1994, Azerbaijan and Turkey have worked together to keep Armenia out of regional energy and communication projects (Ter-Matevosyan et al. 2017, 344-345). Currently, Armenia has sealed 80 percent of its land borders, leaving only the borders with Georgia and Iran open. This situation results in a heavy dependence on these two nations, especially Georgia, which is crucial to Armenia's foreign trade (Ter-Matevosyan et al. 2017, 345). </w:t>
      </w:r>
    </w:p>
    <w:p w14:paraId="2E81DB43" w14:textId="56BFA654" w:rsidR="00FA1D5F" w:rsidRPr="00FA1D5F" w:rsidRDefault="00FA1D5F" w:rsidP="00C33B50">
      <w:pPr>
        <w:pStyle w:val="Titolo3"/>
        <w:ind w:firstLine="283"/>
        <w:rPr>
          <w:lang w:eastAsia="it-IT"/>
        </w:rPr>
      </w:pPr>
      <w:bookmarkStart w:id="67" w:name="_Toc215742679"/>
      <w:r w:rsidRPr="00561F9F">
        <w:t>5.</w:t>
      </w:r>
      <w:r>
        <w:t xml:space="preserve">1.2.  Armenia’s </w:t>
      </w:r>
      <w:r w:rsidR="00031E6D">
        <w:t>D</w:t>
      </w:r>
      <w:r>
        <w:t>iaspora in Russia</w:t>
      </w:r>
      <w:bookmarkEnd w:id="67"/>
    </w:p>
    <w:p w14:paraId="3B152E76" w14:textId="77777777" w:rsidR="00FA1D5F" w:rsidRDefault="00561F9F" w:rsidP="00FA1D5F">
      <w:pPr>
        <w:pStyle w:val="Paragrafoelenco"/>
        <w:spacing w:before="176"/>
        <w:ind w:left="283" w:right="420" w:firstLine="360"/>
        <w:rPr>
          <w:szCs w:val="24"/>
          <w:lang w:eastAsia="it-IT"/>
        </w:rPr>
      </w:pPr>
      <w:r w:rsidRPr="00561F9F">
        <w:rPr>
          <w:szCs w:val="24"/>
          <w:lang w:eastAsia="it-IT"/>
        </w:rPr>
        <w:t>The Armenian diaspora in Russia significantly influences the Russian-Armenian relationship in both economic and political terms. In March 2024, during his address at the World Youth Festival, Dmitry Peskov, the Press Secretary for Russian President Vladimir Putin, stated</w:t>
      </w:r>
      <w:r w:rsidR="00FA1D5F">
        <w:rPr>
          <w:szCs w:val="24"/>
          <w:lang w:eastAsia="it-IT"/>
        </w:rPr>
        <w:t>:</w:t>
      </w:r>
    </w:p>
    <w:p w14:paraId="52F2DADC" w14:textId="04BDF7A8" w:rsidR="00FA1D5F" w:rsidRPr="00FA1D5F" w:rsidRDefault="00FA1D5F" w:rsidP="00FA1D5F">
      <w:pPr>
        <w:widowControl/>
        <w:autoSpaceDE/>
        <w:autoSpaceDN/>
        <w:spacing w:before="176"/>
        <w:ind w:left="283" w:right="420" w:firstLine="720"/>
        <w:jc w:val="center"/>
        <w:textAlignment w:val="baseline"/>
        <w:rPr>
          <w:sz w:val="18"/>
          <w:szCs w:val="18"/>
          <w:lang w:eastAsia="it-IT"/>
        </w:rPr>
      </w:pPr>
      <w:r w:rsidRPr="00561F9F">
        <w:rPr>
          <w:sz w:val="20"/>
          <w:szCs w:val="20"/>
          <w:lang w:eastAsia="it-IT"/>
        </w:rPr>
        <w:t>“Do you know that there are more Armenians living in Russia than in Armenia? They are Russians, and they are doing well here. And we love them, and they love us, too. We have lived this way for centuries and we will live this way for centuries. That is why we value the privileged high character of our relations with Armenia just as much” (News.am 2024).</w:t>
      </w:r>
    </w:p>
    <w:p w14:paraId="24A87995" w14:textId="5B2F45B7" w:rsidR="00FA1D5F" w:rsidRDefault="00561F9F" w:rsidP="00FA1D5F">
      <w:pPr>
        <w:pStyle w:val="Paragrafoelenco"/>
        <w:spacing w:before="176"/>
        <w:ind w:left="283" w:right="420" w:firstLine="360"/>
        <w:rPr>
          <w:szCs w:val="24"/>
          <w:lang w:eastAsia="it-IT"/>
        </w:rPr>
      </w:pPr>
      <w:r w:rsidRPr="00561F9F">
        <w:rPr>
          <w:szCs w:val="24"/>
          <w:lang w:eastAsia="it-IT"/>
        </w:rPr>
        <w:t xml:space="preserve">Peskov’s words reflect how Russia is home to the largest population of ethnic Armenians outside of Armenia. While, according to the 2020 Russian census, </w:t>
      </w:r>
      <w:r w:rsidR="00036037">
        <w:rPr>
          <w:szCs w:val="24"/>
          <w:lang w:eastAsia="it-IT"/>
        </w:rPr>
        <w:t>approximately 946,000 Armenians are residing</w:t>
      </w:r>
      <w:r w:rsidRPr="00561F9F">
        <w:rPr>
          <w:szCs w:val="24"/>
          <w:lang w:eastAsia="it-IT"/>
        </w:rPr>
        <w:t xml:space="preserve"> in the country, some estimates suggest that the actual figure may be significantly higher, potentially reaching up to 2.5 million (De Waal 2024). Ziemer (2010, 410) categorizes the formation of the Armenian diaspora in Russia into three broad phases: the first spans from the 18th century to the early 20th century, the second extends from the 1920s to the 1940s, and the third encompasses the period from the 1950s to the late 1980s. The First Karabakh War that erupted in 1988 catalyzed this last wave of migration to Russia. </w:t>
      </w:r>
    </w:p>
    <w:p w14:paraId="0C727512" w14:textId="389C790C" w:rsidR="00FA1D5F" w:rsidRDefault="00561F9F" w:rsidP="00FA1D5F">
      <w:pPr>
        <w:pStyle w:val="Paragrafoelenco"/>
        <w:spacing w:before="176"/>
        <w:ind w:left="283" w:right="420" w:firstLine="360"/>
        <w:rPr>
          <w:szCs w:val="24"/>
          <w:lang w:eastAsia="it-IT"/>
        </w:rPr>
      </w:pPr>
      <w:r w:rsidRPr="00561F9F">
        <w:rPr>
          <w:szCs w:val="24"/>
          <w:lang w:eastAsia="it-IT"/>
        </w:rPr>
        <w:t>Despite its ancient origins, the Armenian community in Russia has only recently started to politically organize itself, as the concept of diaspora was largely unrecognized during the Soviet era (Féron &amp; Baser 2023, 389). Nonetheless, opinions among observers regarding the effectiveness of the political efforts of the Armenian diaspora in Russia tend to diverge. Féron &amp; Baser (2023, 389) note that efforts to unite and mobilize the diaspora through organizations such as the Union of Armenians of Russia (UAR) have faced obstacles due to competition among the different Armenian organizations in the country, Broers (2019, 189) writes that this organization “has secured a dominant, even monopolistic, role in Armenian community life in Russia, within which the image of the ‘integrated Armenian’ is important.” Founded in 2000, the UAR is the largest Armenian diaspora organization in Russia, with 85 regional branches and 647 city offices nationwide (UAR n.d.). The organization’s primary mission, as outlined in its charter, is the “preservation of the Armenian diaspora’s identity in the country” (UAR n d).</w:t>
      </w:r>
    </w:p>
    <w:p w14:paraId="7022C147" w14:textId="77777777" w:rsidR="00FA1D5F" w:rsidRDefault="00561F9F" w:rsidP="00FA1D5F">
      <w:pPr>
        <w:pStyle w:val="Paragrafoelenco"/>
        <w:spacing w:before="176"/>
        <w:ind w:left="283" w:right="420" w:firstLine="360"/>
        <w:rPr>
          <w:szCs w:val="24"/>
          <w:lang w:eastAsia="it-IT"/>
        </w:rPr>
      </w:pPr>
      <w:r w:rsidRPr="00561F9F">
        <w:rPr>
          <w:szCs w:val="24"/>
          <w:lang w:eastAsia="it-IT"/>
        </w:rPr>
        <w:t>Féron &amp; Baser (2023, 392) argue that, due to the organizational structure of the Russian political system, diaspora organizations tend to adopt a less politically charged lobbying strategy than their counterparts in the United States and France. Koinova (2021, 213) notes that the Armenian diaspora in Russia often refrains from engaging in political discourse, opting instead to focus on issues pertaining to Armenia's economic development. Nevertheless, Broers (2019, 189) argues that the UAR has been proactive in mobilizing electoral backing for President Putin among its members. </w:t>
      </w:r>
    </w:p>
    <w:p w14:paraId="0BEC723B" w14:textId="77777777" w:rsidR="00FA1D5F" w:rsidRDefault="00561F9F" w:rsidP="00FA1D5F">
      <w:pPr>
        <w:pStyle w:val="Paragrafoelenco"/>
        <w:spacing w:before="176"/>
        <w:ind w:left="283" w:right="420" w:firstLine="360"/>
        <w:rPr>
          <w:szCs w:val="24"/>
          <w:lang w:eastAsia="it-IT"/>
        </w:rPr>
      </w:pPr>
      <w:r w:rsidRPr="00561F9F">
        <w:rPr>
          <w:szCs w:val="24"/>
          <w:lang w:eastAsia="it-IT"/>
        </w:rPr>
        <w:t>Observers (Terzyan 2019; Broers 2019) posit that the Armenian diaspora in Russia, along with the significant migration of Armenian labor to the country, has been instrumental in shaping a pro-Russia inclination in Yerevan's foreign policy. Russia serves as a key destination for Armenian labor migrants (Galstyan et al. 2024, 169). Suffice it to think that, in 2012, remittances from Russia represented a significant 15.5% of Armenia's GDP (Sukiasyan 2021; Ter-Matevosyan and Mkrtchyan 2021). This trend has become largely possible thanks to Armenia's membership in the EAEU, which mitigates visa-related barriers and facilitates the free movement of Armenian workers (Terzyan 2019, 125). Ara Abrahamyan, president of UAR, pledged several times Armenia's choice to join the organization, highlighting its significance for the security of the Armenian community in Russia (Terzyan 2023, 6).  </w:t>
      </w:r>
    </w:p>
    <w:p w14:paraId="39D5AE34" w14:textId="77777777" w:rsidR="00FA1D5F" w:rsidRDefault="00561F9F" w:rsidP="00FA1D5F">
      <w:pPr>
        <w:pStyle w:val="Paragrafoelenco"/>
        <w:spacing w:before="176"/>
        <w:ind w:left="283" w:right="420" w:firstLine="360"/>
        <w:rPr>
          <w:szCs w:val="24"/>
          <w:lang w:eastAsia="it-IT"/>
        </w:rPr>
      </w:pPr>
      <w:r w:rsidRPr="00561F9F">
        <w:rPr>
          <w:szCs w:val="24"/>
          <w:lang w:eastAsia="it-IT"/>
        </w:rPr>
        <w:t>According to Terzyan (2019, 125), the Kremlin has exploited Yerevan's concerns about the potential mistreatment of Armenian migrants should the country pursue independence from Russian influence. The Russian government's targeted campaign against Georgian migrants in Russia in October and November 2006 gave rise to such anxiety among Armenian authorities. As a result, thousands of them were detained and expelled in retaliation for Georgia’s shift toward closer ties with the EU and NATO (Buchanan et al. 2007). </w:t>
      </w:r>
    </w:p>
    <w:p w14:paraId="063EFA85" w14:textId="77777777" w:rsidR="00FA1D5F" w:rsidRDefault="00561F9F" w:rsidP="00FA1D5F">
      <w:pPr>
        <w:pStyle w:val="Paragrafoelenco"/>
        <w:spacing w:before="176"/>
        <w:ind w:left="283" w:right="420" w:firstLine="360"/>
        <w:rPr>
          <w:szCs w:val="24"/>
          <w:lang w:eastAsia="it-IT"/>
        </w:rPr>
      </w:pPr>
      <w:r w:rsidRPr="00561F9F">
        <w:rPr>
          <w:szCs w:val="24"/>
          <w:lang w:eastAsia="it-IT"/>
        </w:rPr>
        <w:t>Furthermore, Terzyan (2019, 133) points out that the Russian government has actively encouraged prominent Armenian business tycoons to enhance their economic involvement in Armenia and bolster its influence over the country's economy. Cavoukyan (2013, 714) notes that the activities of Russian-Armenian oligarchs significantly affect the political landscapes of the two countries. Although the involvement of these individuals is often subtle, as they usually frame it within humanitarian and development-focused narratives (Féron &amp; Baser 2023, 392), their political loyalty to Russian government is quite established (Broers 2019, 189). </w:t>
      </w:r>
    </w:p>
    <w:p w14:paraId="44188E22" w14:textId="77777777" w:rsidR="00FA1D5F" w:rsidRDefault="00561F9F" w:rsidP="00FA1D5F">
      <w:pPr>
        <w:pStyle w:val="Paragrafoelenco"/>
        <w:spacing w:before="176"/>
        <w:ind w:left="283" w:right="420" w:firstLine="360"/>
        <w:rPr>
          <w:szCs w:val="24"/>
          <w:lang w:eastAsia="it-IT"/>
        </w:rPr>
      </w:pPr>
      <w:r w:rsidRPr="00561F9F">
        <w:rPr>
          <w:szCs w:val="24"/>
          <w:lang w:eastAsia="it-IT"/>
        </w:rPr>
        <w:t>Several Russian Armenian businessmen have consistently ranked among the 200 wealthiest individuals in the country, as reported by the Russian edition of Forbes magazine (Asbarez 2016). Noteworthy examples include Samvel Karapetyan, the president and owner of Tashir Group, and Danil Khachaturov, the head of Rosgosstrakh insurance company. In 2017, Samvel Karapetyan, for example, campaigned for the reelection of Karen Karapetyan as prime minister of Armenia. (Danielyan 2017). Ara Abramyan, the president of the Union of Armenians in Russia, is a prominent figure among Russian-Armenian businessmen. In 1993, he established JSC “Soglasye,” which has become one of the leading insurance companies in Russia.  </w:t>
      </w:r>
    </w:p>
    <w:p w14:paraId="7C6C1BD1" w14:textId="77777777" w:rsidR="00FA1D5F" w:rsidRDefault="00561F9F" w:rsidP="00FA1D5F">
      <w:pPr>
        <w:pStyle w:val="Paragrafoelenco"/>
        <w:spacing w:before="176"/>
        <w:ind w:left="283" w:right="420" w:firstLine="360"/>
        <w:rPr>
          <w:szCs w:val="24"/>
          <w:lang w:eastAsia="it-IT"/>
        </w:rPr>
      </w:pPr>
      <w:r w:rsidRPr="00561F9F">
        <w:rPr>
          <w:szCs w:val="24"/>
          <w:lang w:eastAsia="it-IT"/>
        </w:rPr>
        <w:t>Furthermore, Abramyan played a crucial role in securing the release of six Armenian pilots detained by local authorities in Equatorial Guinea in 2005 (Azatutyun 2005), twelve Russian sailors held captive in Nigeria in 2006 (Moscow Times 2006), and Trevor Reed, an American prisoner who had been held in Russia since 2019 (Asbarez 2022). In 2018, he reestablished the party "Our Home is Armenia," which had been dissolved in 2016, and formed a coalition with the Alliance Party for the 2021 Armenian parliamentary elections. However, the alliance was unsuccessful in securing a seat in the National Assembly, receiving just 0.95% of the popular vote (1Lurer 2021). </w:t>
      </w:r>
    </w:p>
    <w:p w14:paraId="040B9BD0" w14:textId="77777777" w:rsidR="00FA1D5F" w:rsidRDefault="00561F9F" w:rsidP="00FA1D5F">
      <w:pPr>
        <w:pStyle w:val="Paragrafoelenco"/>
        <w:spacing w:before="176"/>
        <w:ind w:left="283" w:right="420" w:firstLine="360"/>
        <w:rPr>
          <w:szCs w:val="24"/>
          <w:lang w:eastAsia="it-IT"/>
        </w:rPr>
      </w:pPr>
      <w:r w:rsidRPr="00561F9F">
        <w:rPr>
          <w:szCs w:val="24"/>
          <w:lang w:eastAsia="it-IT"/>
        </w:rPr>
        <w:t>The Sarkisov brothers, Nikolai and Sergey, originally from Nagorno-Karabakh, have amassed considerable wealth as the owners of RESO-Garantia, one of Russia’s leading insurance firms (Armenpress 2013). In 2013, Sergey Sarkisov was appointed as Armenia’s Consul General in Los Angeles, which is home to a significant portion of the Armenian community in the United States (Armenpress 2013). Another prominent name is Sergey Galitsky Harutyunyan, the major shareholder of the Magnit retail chain and president of the Krasnodar football team, in Russia. </w:t>
      </w:r>
    </w:p>
    <w:p w14:paraId="1C5BC79F" w14:textId="77777777" w:rsidR="00FA1D5F" w:rsidRDefault="00561F9F" w:rsidP="00FA1D5F">
      <w:pPr>
        <w:pStyle w:val="Paragrafoelenco"/>
        <w:spacing w:before="176"/>
        <w:ind w:left="283" w:right="420" w:firstLine="360"/>
        <w:rPr>
          <w:szCs w:val="24"/>
          <w:lang w:eastAsia="it-IT"/>
        </w:rPr>
      </w:pPr>
      <w:r w:rsidRPr="00561F9F">
        <w:rPr>
          <w:szCs w:val="24"/>
          <w:lang w:eastAsia="it-IT"/>
        </w:rPr>
        <w:t>Lastly, we have Ruben Vardanyan, a billionaire and philanthropist who was reported to have close ties with Russian President Vladimir Putin (Bernstein et al. 2016; Rapoza 2023). After renouncing his Russian citizenship, Vardanyan moved to Nagorno-Karabakh and served as the state minister in the self-proclaimed government of Artsakh from November 2022 until February 2023 (Armenpress 2023). His rise to power provoked anger from the Azerbaijani government, which viewed him as a Kremlin-backed agent sent to undermine its efforts to regain full control over Nagorno-Karabakh (Kucera 2023). In September 2023, during Baku's takeover of Nagorno-Karabakh, he was detained and currently remains imprisoned in the Azerbaijani capital (Kucera 2023). </w:t>
      </w:r>
    </w:p>
    <w:p w14:paraId="668C8FB9" w14:textId="4796B1C8" w:rsidR="00FA1D5F" w:rsidRPr="00FA1D5F" w:rsidRDefault="00FA1D5F" w:rsidP="00C33B50">
      <w:pPr>
        <w:pStyle w:val="Titolo3"/>
        <w:ind w:firstLine="283"/>
        <w:rPr>
          <w:lang w:eastAsia="it-IT"/>
        </w:rPr>
      </w:pPr>
      <w:bookmarkStart w:id="68" w:name="_Toc215742680"/>
      <w:r w:rsidRPr="00561F9F">
        <w:t>5.</w:t>
      </w:r>
      <w:r>
        <w:t>1.3. Security</w:t>
      </w:r>
      <w:bookmarkEnd w:id="68"/>
    </w:p>
    <w:p w14:paraId="3CDDF482" w14:textId="77777777" w:rsidR="00FA1D5F" w:rsidRDefault="00561F9F" w:rsidP="00FA1D5F">
      <w:pPr>
        <w:pStyle w:val="Paragrafoelenco"/>
        <w:spacing w:before="176"/>
        <w:ind w:left="283" w:right="420" w:firstLine="360"/>
        <w:rPr>
          <w:szCs w:val="24"/>
          <w:lang w:eastAsia="it-IT"/>
        </w:rPr>
      </w:pPr>
      <w:r w:rsidRPr="00561F9F">
        <w:rPr>
          <w:szCs w:val="24"/>
          <w:lang w:eastAsia="it-IT"/>
        </w:rPr>
        <w:t>Throughout much of its independent history, Armenia regarded military cooperation with Russia as a vital component of its security and defense strategy. When the Soviet Union collapsed and Yerevan declared independence on September 21, 1991, a significant number of Soviet troops remained stationed in the country. In contrast to its neighbors, Azerbaijan and Georgia, Armenia chose not to expel them. In May 1992, Armenia and Russia were among the six post-Soviet states (including also Kazakhstan, Kyrgyzstan, Tajikistan, and Uzbekistan) to sign the Collective Security Treaty (CST). According to its Article 4, in the event of an armed attack threatening the safety, stability, territorial integrity, and sovereignty of any member, all other members are obligated to offer the necessary assistance promptly, which may include military support, to the affected ally (Davidzon 2022, 156). In September of the same year, the two parties inked the treaty “on the Status and Operating Conditions of the Border Troops of the Russian Federation on the territory of the Republic of Armenia.” The latter established a framework for the joint protection of Armenia’s borders with Turkey and Iran by Russian and Armenian border guards (MFA Armenia n.d.). </w:t>
      </w:r>
    </w:p>
    <w:p w14:paraId="41995C2E" w14:textId="7F6FBCF9" w:rsidR="00FA1D5F" w:rsidRDefault="00561F9F" w:rsidP="00FA1D5F">
      <w:pPr>
        <w:pStyle w:val="Paragrafoelenco"/>
        <w:spacing w:before="176"/>
        <w:ind w:left="283" w:right="420" w:firstLine="360"/>
        <w:rPr>
          <w:szCs w:val="24"/>
          <w:lang w:eastAsia="it-IT"/>
        </w:rPr>
      </w:pPr>
      <w:r w:rsidRPr="00561F9F">
        <w:rPr>
          <w:szCs w:val="24"/>
          <w:lang w:eastAsia="it-IT"/>
        </w:rPr>
        <w:t>In March 1995, the two countries signed a treaty concerning the establishment of a “Russian military base in the territory of the Republic of Armenia.” This agreement led to the formation of the 102nd Russian military base in Gyumri, Armenia's second-largest city near the Turkish border, utilizing the facilities of the former 344th Motorized Rifle Regiment, which had been established in 1957. The base was supposed to accommodate over 3,000 Russian soldiers, with Armenia agreeing to cover 50% of its operational expenses, while Russia was exempted from lease payments for the land (Grigas 2016, 383). Additionally, a treaty signed in the same year established the operational and tactical guidelines for joint military exercises (Abrahamyan 2016). On 29 August 1997, Moscow and Yerevan signed the “Treaty on Friendship, Cooperation, and Mutual Assistance.” According to this document, both nations pledged to aid each other in the event of military threats from third countries, enhance military and technical collaboration, align closely on foreign policy matters, and coordinate their actions in various other policy areas (</w:t>
      </w:r>
      <w:r w:rsidR="005173BA">
        <w:rPr>
          <w:szCs w:val="24"/>
          <w:lang w:eastAsia="it-IT"/>
        </w:rPr>
        <w:t>MFA Armenia n.d.</w:t>
      </w:r>
      <w:r w:rsidRPr="00561F9F">
        <w:rPr>
          <w:szCs w:val="24"/>
          <w:lang w:eastAsia="it-IT"/>
        </w:rPr>
        <w:t>). </w:t>
      </w:r>
    </w:p>
    <w:p w14:paraId="01A335DF" w14:textId="77777777" w:rsidR="00FA1D5F" w:rsidRDefault="00561F9F" w:rsidP="00FA1D5F">
      <w:pPr>
        <w:pStyle w:val="Paragrafoelenco"/>
        <w:spacing w:before="176"/>
        <w:ind w:left="283" w:right="420" w:firstLine="360"/>
        <w:rPr>
          <w:szCs w:val="24"/>
          <w:lang w:eastAsia="it-IT"/>
        </w:rPr>
      </w:pPr>
      <w:r w:rsidRPr="00561F9F">
        <w:rPr>
          <w:szCs w:val="24"/>
          <w:lang w:eastAsia="it-IT"/>
        </w:rPr>
        <w:t>The 2000 Declaration on Allied Cooperation between the Russian Federation and the Republic of Armenia reiterated many of these commitments (Grigas 2016). In May 2002, Armenia became a member of the CSTO. In contrast to the largely declarative nature of the CST, the provisions of this new organization markedly enhanced the military and political dimensions of the cooperation and established a formal structure to oversee decision-making and the operations of the alliance (Davidzon 2022). In 2010, the treaty on the military base was extended by Armenian and Russian presidents, Serzh Sargsyan and Dmitry Medvedev, until 2044 (Grigas 2016, 383). In 2015, Russia and Armenia signed an agreement for the "creation of a joint regional air defense system as part of the united air defense system of the states making the CIS” (TASS 2015).</w:t>
      </w:r>
    </w:p>
    <w:p w14:paraId="286D8813" w14:textId="77777777" w:rsidR="00FA1D5F" w:rsidRDefault="00561F9F" w:rsidP="00FA1D5F">
      <w:pPr>
        <w:pStyle w:val="Paragrafoelenco"/>
        <w:spacing w:before="176"/>
        <w:ind w:left="283" w:right="420" w:firstLine="360"/>
        <w:rPr>
          <w:szCs w:val="24"/>
          <w:lang w:eastAsia="it-IT"/>
        </w:rPr>
      </w:pPr>
      <w:r w:rsidRPr="00561F9F">
        <w:rPr>
          <w:szCs w:val="24"/>
          <w:lang w:eastAsia="it-IT"/>
        </w:rPr>
        <w:t>Armenia's dependence on Moscow for security and support during the Nagorno-Karabakh conflict significantly facilitated the Kremlin's ability to establish a military presence in the Caucasian republic (Delcour 2015).  In addition to its military base in Gyumri, Russia holds other military installations in Armenia’s capital, Yerevan, a garrison in Yerevan's northeast suburb of Kanaker, and the 3624th Russian airbase, stationed at the Erebuni military airport (Nazaretyan 2023). </w:t>
      </w:r>
    </w:p>
    <w:p w14:paraId="0BECCB3B" w14:textId="7B6F6425" w:rsidR="00FA1D5F" w:rsidRDefault="00561F9F" w:rsidP="00FA1D5F">
      <w:pPr>
        <w:pStyle w:val="Paragrafoelenco"/>
        <w:spacing w:before="176"/>
        <w:ind w:left="283" w:right="420" w:firstLine="360"/>
        <w:rPr>
          <w:szCs w:val="24"/>
          <w:lang w:eastAsia="it-IT"/>
        </w:rPr>
      </w:pPr>
      <w:r w:rsidRPr="00561F9F">
        <w:rPr>
          <w:szCs w:val="24"/>
          <w:lang w:eastAsia="it-IT"/>
        </w:rPr>
        <w:t>Between late 2020 and 2021, Russia strengthened its military presence along the border with Azerbaijan, where its deployment had not previously been requested (Nazaretyan 2023). In October 2020, a field camp was established near the village of Tegh along the Goris-Lachin highway, which connects Armenia to Nagorno-Karabakh. By November 2020, Russian border guards were stationed in various locations throughout Armenia's Syunik province</w:t>
      </w:r>
      <w:r w:rsidR="00481BF0">
        <w:rPr>
          <w:szCs w:val="24"/>
          <w:lang w:eastAsia="it-IT"/>
        </w:rPr>
        <w:t xml:space="preserve">. </w:t>
      </w:r>
      <w:r w:rsidRPr="00561F9F">
        <w:rPr>
          <w:szCs w:val="24"/>
          <w:lang w:eastAsia="it-IT"/>
        </w:rPr>
        <w:t>By early January 2021, these guards were patrolling the highway from Vorotan to Srashen, near Agarak, close to Kapan.</w:t>
      </w:r>
    </w:p>
    <w:p w14:paraId="07D1802C" w14:textId="77777777" w:rsidR="00FA1D5F" w:rsidRDefault="00561F9F" w:rsidP="00FA1D5F">
      <w:pPr>
        <w:pStyle w:val="Paragrafoelenco"/>
        <w:spacing w:before="176"/>
        <w:ind w:left="283" w:right="420" w:firstLine="360"/>
        <w:rPr>
          <w:szCs w:val="24"/>
          <w:lang w:eastAsia="it-IT"/>
        </w:rPr>
      </w:pPr>
      <w:r w:rsidRPr="00561F9F">
        <w:rPr>
          <w:szCs w:val="24"/>
          <w:lang w:eastAsia="it-IT"/>
        </w:rPr>
        <w:t>However, security cooperation between Russia and Armenia involves more than just the presence of military bases and border guards. It also encompasses Yerevan’s acquisition of arms from Moscow. Between 2011 and 2020, Russia served as the main supplier of military equipment to Armenia. According to the Stockholm International Peace Research Institute (SIPRI), Russia accounted for at least 94 percent of Armenia's arms imports during this timeframe. Moscow offers Yerevan credit to purchase weapons, which Armenia primarily purchases from Russia at discounted prices (Ter-Matevosyan &amp; Mkrtchyan 2021, 211) </w:t>
      </w:r>
    </w:p>
    <w:p w14:paraId="6A65E34B" w14:textId="730C0853" w:rsidR="00FA1D5F" w:rsidRDefault="00561F9F" w:rsidP="00FA1D5F">
      <w:pPr>
        <w:pStyle w:val="Paragrafoelenco"/>
        <w:spacing w:before="176"/>
        <w:ind w:left="283" w:right="420" w:firstLine="360"/>
        <w:rPr>
          <w:szCs w:val="24"/>
          <w:lang w:eastAsia="it-IT"/>
        </w:rPr>
      </w:pPr>
      <w:r w:rsidRPr="00561F9F">
        <w:rPr>
          <w:szCs w:val="24"/>
          <w:lang w:eastAsia="it-IT"/>
        </w:rPr>
        <w:t xml:space="preserve">In 2015, Moscow offered a $200 million loan to Armenia, allowing the country to purchase BM-30 Smerch and TOS-1A Solntsepek multiple-launch rocket systems, Igla-S man-portable air defense systems, the Avtobaza-M electronic intelligence system, and additional military equipment (Nersisyan </w:t>
      </w:r>
      <w:r w:rsidR="00406B09">
        <w:rPr>
          <w:szCs w:val="24"/>
          <w:lang w:eastAsia="it-IT"/>
        </w:rPr>
        <w:t>&amp;</w:t>
      </w:r>
      <w:r w:rsidRPr="00561F9F">
        <w:rPr>
          <w:szCs w:val="24"/>
          <w:lang w:eastAsia="it-IT"/>
        </w:rPr>
        <w:t xml:space="preserve"> Melkonian 2024). Also, in the same period Armenia bought skander-E missile systems, Su-30SM fighter jets, and Tor-M2KM air defense systems (Nersisyan &amp; Melkonian 2024).</w:t>
      </w:r>
    </w:p>
    <w:p w14:paraId="1011C798" w14:textId="77777777" w:rsidR="00FA1D5F" w:rsidRDefault="00561F9F" w:rsidP="00FA1D5F">
      <w:pPr>
        <w:pStyle w:val="Paragrafoelenco"/>
        <w:spacing w:before="176"/>
        <w:ind w:left="283" w:right="420" w:firstLine="360"/>
        <w:rPr>
          <w:szCs w:val="24"/>
          <w:lang w:eastAsia="it-IT"/>
        </w:rPr>
      </w:pPr>
      <w:r w:rsidRPr="00561F9F">
        <w:rPr>
          <w:szCs w:val="24"/>
          <w:lang w:eastAsia="it-IT"/>
        </w:rPr>
        <w:t>Armenia and Russia finalized a new arms supply agreement in August 2021, but they did not disclose the deal's specifics or value (Azatutyun 2021). In 2023, Andranik Kocharyan, the head of the Armenian parliamentary defense commission, revealed the contract's value at $400 million (Reuters 2023). The purchase of arms is another area where diplomatic relations between Russia and Armenia evolved following the Second Karabakh War. In November 2023, Pashinyan declared that Armenia had paid Russia for weapons that had not yet arrived (Reuters 2023).</w:t>
      </w:r>
    </w:p>
    <w:p w14:paraId="72A80817" w14:textId="2D951F84" w:rsidR="00FA1D5F" w:rsidRPr="00FA1D5F" w:rsidRDefault="00FA1D5F" w:rsidP="00C33B50">
      <w:pPr>
        <w:pStyle w:val="Titolo3"/>
        <w:ind w:firstLine="283"/>
        <w:rPr>
          <w:sz w:val="18"/>
          <w:szCs w:val="18"/>
          <w:lang w:eastAsia="it-IT"/>
        </w:rPr>
      </w:pPr>
      <w:bookmarkStart w:id="69" w:name="_Toc215742681"/>
      <w:r w:rsidRPr="00561F9F">
        <w:t>5.</w:t>
      </w:r>
      <w:r>
        <w:t xml:space="preserve">1.4.  Armenian </w:t>
      </w:r>
      <w:r w:rsidR="00031E6D">
        <w:t>P</w:t>
      </w:r>
      <w:r>
        <w:t>olitics</w:t>
      </w:r>
      <w:bookmarkEnd w:id="69"/>
    </w:p>
    <w:p w14:paraId="185E003C" w14:textId="77777777" w:rsidR="00FA1D5F" w:rsidRDefault="00561F9F" w:rsidP="00FA1D5F">
      <w:pPr>
        <w:pStyle w:val="Paragrafoelenco"/>
        <w:spacing w:before="176"/>
        <w:ind w:left="283" w:right="420" w:firstLine="360"/>
        <w:rPr>
          <w:szCs w:val="24"/>
          <w:lang w:eastAsia="it-IT"/>
        </w:rPr>
      </w:pPr>
      <w:r w:rsidRPr="00561F9F">
        <w:rPr>
          <w:szCs w:val="24"/>
          <w:lang w:eastAsia="it-IT"/>
        </w:rPr>
        <w:t>Some observers also contend that Russia would not have been able to exert such significant influence over Armenia without establishing close ties with a segment of Armenian politics represented by Robert Kocharyan and Serzh Sargsyan, who dominated Armenian politics for nearly two decades.</w:t>
      </w:r>
    </w:p>
    <w:p w14:paraId="56014596" w14:textId="77777777" w:rsidR="00FA1D5F" w:rsidRDefault="00561F9F" w:rsidP="00FA1D5F">
      <w:pPr>
        <w:pStyle w:val="Paragrafoelenco"/>
        <w:spacing w:before="176"/>
        <w:ind w:left="283" w:right="420" w:firstLine="360"/>
        <w:rPr>
          <w:szCs w:val="24"/>
          <w:lang w:eastAsia="it-IT"/>
        </w:rPr>
      </w:pPr>
      <w:r w:rsidRPr="00561F9F">
        <w:rPr>
          <w:szCs w:val="24"/>
          <w:lang w:eastAsia="it-IT"/>
        </w:rPr>
        <w:t>Both Robert Kocharyan and Serzh Sargsyan, who hailed from Nagorno-Karabakh, played critical roles within the political apparatus of the self-declared republic, unlike Armenia's first president, Levon Ter-Petrosyan (1992–1998), who lacked personal connections to the region. Prior to his terms as Prime Minister (1997-1998) and President of Armenia (1998-2008), Kocharyan served as the President of the self-declared Nagorno-Karabakh Republic (1994-1997). Similarly, before ascending to the roles of Minister of Internal Affairs and National Security (1996-1999), President (2008-2018), and Prime Minister (2018) of Armenia, Sargsyan was the chairman of the Self-Defense Forces Committee of the Nagorno-Karabakh Republic (1989-1992). </w:t>
      </w:r>
    </w:p>
    <w:p w14:paraId="67F23F7E" w14:textId="77777777" w:rsidR="00FA1D5F" w:rsidRDefault="00561F9F" w:rsidP="00FA1D5F">
      <w:pPr>
        <w:pStyle w:val="Paragrafoelenco"/>
        <w:spacing w:before="176"/>
        <w:ind w:left="283" w:right="420" w:firstLine="360"/>
        <w:rPr>
          <w:szCs w:val="24"/>
          <w:lang w:eastAsia="it-IT"/>
        </w:rPr>
      </w:pPr>
      <w:r w:rsidRPr="00561F9F">
        <w:rPr>
          <w:szCs w:val="24"/>
          <w:lang w:eastAsia="it-IT"/>
        </w:rPr>
        <w:t>Their rise to prominence in Armenian politics was closely tied to the "Karabakh Movement," which comprised both politicians from Karabakh and Armenian military leaders advocating for the unification of Nagorno-Karabakh with Armenia (De Waal 2019, 126). Armenia's military victory in the First Karabakh War in 1994 significantly bolstered their influence and popularity (De Waal 2019, 126). In 1998, following months of internal turmoil, the pressure applied by Kocharyan and Sargsyan played a crucial role in Ter-Petrosyan's resignation (Papazian 2008, 30).</w:t>
      </w:r>
    </w:p>
    <w:p w14:paraId="57E1730B" w14:textId="2FA85117" w:rsidR="00FA1D5F" w:rsidRDefault="00561F9F" w:rsidP="00FA1D5F">
      <w:pPr>
        <w:pStyle w:val="Paragrafoelenco"/>
        <w:spacing w:before="176"/>
        <w:ind w:left="283" w:right="420" w:firstLine="360"/>
        <w:rPr>
          <w:szCs w:val="24"/>
          <w:lang w:eastAsia="it-IT"/>
        </w:rPr>
      </w:pPr>
      <w:r w:rsidRPr="00561F9F">
        <w:rPr>
          <w:szCs w:val="24"/>
          <w:lang w:eastAsia="it-IT"/>
        </w:rPr>
        <w:t>Ter-Petrosyan perceived the Nagorno-Karabakh conflict as significantly obstructing the Caucasian republic's aspirations to become a democratic and sovereign nation. Consequently, he even advocated for potential resolutions that might involve the return of the region to Azerbaijan (Hynek &amp; Ter-Ghazaryan 2023). In contrast, Kocharyan and Sargsyan adopted a more hard-line stance regarding the conflict, reflecting the prevailing public sentiment among Armenians both domestically and within the diaspora (Switalski 2020, 106). They championed a state-building initiative that emphasized the geopolitical narrative of an “augmented Armenia,” envisioning the Caucasian nation as a unified entity encompassing Nagorno-Karabakh and the surrounding territories occupied during the First Karabakh War (Broers 2019).</w:t>
      </w:r>
    </w:p>
    <w:p w14:paraId="47C4D760" w14:textId="77777777" w:rsidR="00FA1D5F" w:rsidRDefault="00561F9F" w:rsidP="00FA1D5F">
      <w:pPr>
        <w:pStyle w:val="Paragrafoelenco"/>
        <w:spacing w:before="176"/>
        <w:ind w:left="283" w:right="420" w:firstLine="360"/>
        <w:rPr>
          <w:szCs w:val="24"/>
          <w:lang w:eastAsia="it-IT"/>
        </w:rPr>
      </w:pPr>
      <w:r w:rsidRPr="00561F9F">
        <w:rPr>
          <w:szCs w:val="24"/>
          <w:lang w:eastAsia="it-IT"/>
        </w:rPr>
        <w:t>Kocharyan and Sargsyan, along with other political figures from Nagorno-Karabakh who established their credentials through the struggle for the region's independence and subsequently held political roles in Armenia during their tenures, are frequently referred to as the "Karabakh Clan" (Czerewacz-Filipowicz &amp; Konopelko 2016; Kucera 2017; Kopeček 2019). Notable members of this "clan" included Leonard Petrosian, who served as Prime Minister of Nagorno-Karabakh in 1997 and as Armenia's Deputy Defence Minister at the end of 1998. He held this role until he was tragically assassinated in the 1999 shooting incident in the assembly hall of the National Assembly of Armenia. </w:t>
      </w:r>
    </w:p>
    <w:p w14:paraId="22277CD9" w14:textId="77777777" w:rsidR="00FA1D5F" w:rsidRDefault="00561F9F" w:rsidP="00FA1D5F">
      <w:pPr>
        <w:pStyle w:val="Paragrafoelenco"/>
        <w:spacing w:before="176"/>
        <w:ind w:left="283" w:right="420" w:firstLine="360"/>
        <w:rPr>
          <w:szCs w:val="24"/>
          <w:lang w:eastAsia="it-IT"/>
        </w:rPr>
      </w:pPr>
      <w:r w:rsidRPr="00561F9F">
        <w:rPr>
          <w:szCs w:val="24"/>
          <w:lang w:eastAsia="it-IT"/>
        </w:rPr>
        <w:t>Another example is Slava Avanesyan, who functioned as the Secretary of Karabakh’s Security Council and later served as an advisor to Armenia’s Prime Minister, Andranik Margaryan (Panossyan 2001, 155). In 2005, he was appointed Deputy Mayor of Yerevan (Gov Arm 2005). Additionally, Oleg Yesayan, after holding the positions of Prime Minister of Nagorno-Karabakh and President of the National Assembly of Nagorno-Karabakh, went on to serve as Armenia’s ambassador to Russia and Belarus until 2017. Seyran Ohanyan, who served as Defence Minister of Karabakh for many years, later became the Chief of the General Staff of the Armenian army in 2007 and subsequently Armenia’s Defence Minister in 2008 (Panossyan 2001, 155). Finally, Karen Karapetyan, born in Stepanakert, served as the Mayor of Yerevan from 2010 to 2011 before assuming the role of Prime Minister of Armenia from 2016 until 2018.</w:t>
      </w:r>
    </w:p>
    <w:p w14:paraId="2A3EA388" w14:textId="77777777" w:rsidR="00FA1D5F" w:rsidRDefault="00561F9F" w:rsidP="00FA1D5F">
      <w:pPr>
        <w:pStyle w:val="Paragrafoelenco"/>
        <w:spacing w:before="176"/>
        <w:ind w:left="283" w:right="420" w:firstLine="360"/>
        <w:rPr>
          <w:szCs w:val="24"/>
          <w:lang w:eastAsia="it-IT"/>
        </w:rPr>
      </w:pPr>
      <w:r w:rsidRPr="00561F9F">
        <w:rPr>
          <w:szCs w:val="24"/>
          <w:lang w:eastAsia="it-IT"/>
        </w:rPr>
        <w:t>Kocharyan and Sargsyan are also regarded as the main architects of the path that led to Armenia’s economic and political absorption by Russia (Mirzoyan 2010; Oskanian 2014; Terzyan 2017; Broers 2019). Ter-Petrosyan argued that one of the primary risks for Armenia in continuing to engage in the conflict was the growing tendency to establish a closer political and security alignment with Russia (Terzyan 2023). It is important to note that even during Ter-Petrosyan's tenure, Armenia continued to seek closer cooperation with Russia. During his tenure in office, he signed most of the key security agreements tying the two countries. While Azerbaijan chose to withdraw from the CST, citing its inability to resolve the Nagorno-Karabakh dispute, Armenia remained a member of the organization (Davidzon 2022, 78). </w:t>
      </w:r>
    </w:p>
    <w:p w14:paraId="0E5D6DF3" w14:textId="77777777" w:rsidR="00FA1D5F" w:rsidRDefault="00561F9F" w:rsidP="00FA1D5F">
      <w:pPr>
        <w:pStyle w:val="Paragrafoelenco"/>
        <w:spacing w:before="176"/>
        <w:ind w:left="283" w:right="420" w:firstLine="360"/>
        <w:rPr>
          <w:szCs w:val="24"/>
          <w:lang w:eastAsia="it-IT"/>
        </w:rPr>
      </w:pPr>
      <w:r w:rsidRPr="00561F9F">
        <w:rPr>
          <w:szCs w:val="24"/>
          <w:lang w:eastAsia="it-IT"/>
        </w:rPr>
        <w:t>However, in the subsequent decades, Armenia's foreign policy was even more influenced by the "Nagorno-Karabakh factor," especially with regard to the unique importance the Karabakh clan attributed to Russia's role in the conflict (Czerewacz-Filipowicz &amp; Konopelko 2016, 313). During his tenure, Kocharyan faced significant criticism for conceding control over strategic sectors of the Armenian economy and for failing to explore alternative strategies to diminish reliance on Russia (Danielyan 2017). In September 2013, Sargsyan traveled to Moscow, where he publicly announced Armenia's decision to join the customs union with Russia and Belarus and abandon a long-negotiated Association Agreement with the EU (De Waal 2019, 238). Broers (2019) describes how, under the leadership of Kocharyan and Sargsyan, Armenia's networked regime cultivated relationships with Russia-oriented oligarchs and strengthened its ties to the Russian government (Broers 2019, 9). </w:t>
      </w:r>
    </w:p>
    <w:p w14:paraId="4DC6D62E" w14:textId="77777777" w:rsidR="00FA1D5F" w:rsidRDefault="00561F9F" w:rsidP="00FA1D5F">
      <w:pPr>
        <w:pStyle w:val="Paragrafoelenco"/>
        <w:spacing w:before="176"/>
        <w:ind w:left="283" w:right="420" w:firstLine="360"/>
        <w:rPr>
          <w:szCs w:val="24"/>
          <w:lang w:eastAsia="it-IT"/>
        </w:rPr>
      </w:pPr>
      <w:r w:rsidRPr="00561F9F">
        <w:rPr>
          <w:szCs w:val="24"/>
          <w:lang w:eastAsia="it-IT"/>
        </w:rPr>
        <w:t>An example of these dynamics is the already mentioned Karapetyan, who served as chief executive of Gazprom Armenia before starting his political career in Armenia. According to Terzyyan (2019), Karapetyan 's tenure as prime minister aimed to provide Moscow with some reassurance that their representative was in charge while also suppressing Armenia's aspirations to lessen its reliance on Russia.</w:t>
      </w:r>
    </w:p>
    <w:p w14:paraId="749E6DED" w14:textId="77777777" w:rsidR="00FA1D5F" w:rsidRDefault="00561F9F" w:rsidP="00FA1D5F">
      <w:pPr>
        <w:pStyle w:val="Paragrafoelenco"/>
        <w:spacing w:before="176"/>
        <w:ind w:left="283" w:right="420" w:firstLine="360"/>
        <w:rPr>
          <w:szCs w:val="24"/>
          <w:lang w:eastAsia="it-IT"/>
        </w:rPr>
      </w:pPr>
      <w:r w:rsidRPr="00561F9F">
        <w:rPr>
          <w:szCs w:val="24"/>
          <w:lang w:eastAsia="it-IT"/>
        </w:rPr>
        <w:t>Terzyan (2018, 246) also argues that the two Armenian presidents' perceptions and preferences significantly influenced the pro-Russia course of Armenian foreign policy. According to him, the "success stories" of Russian-backed incumbents in Central Asian countries and Belarus, as well as the rising challenges faced by political elites in other post-Soviet Western-oriented democratizing countries such as Georgia, Moldova, and Ukraine, influenced Kocharyan's decision to follow the Russian path. Mirzoyan (2010, 49) writes that the security of Kocharyan's and Sargsyan’s regime was largely ensured by the Kremlin, which favored the familiar figure of Kocharyan over an opposition advocating for stronger ties with the West. Putin's spokesperson, Dmitry Peskov, has referred to Kocharian as a "close friend of Russia" and noted that the two men "frequently communicate with each other" (Azatutyun 2021). </w:t>
      </w:r>
    </w:p>
    <w:p w14:paraId="69160F46" w14:textId="77777777" w:rsidR="00FA1D5F" w:rsidRDefault="00561F9F" w:rsidP="00FA1D5F">
      <w:pPr>
        <w:pStyle w:val="Paragrafoelenco"/>
        <w:spacing w:before="176"/>
        <w:ind w:left="283" w:right="420" w:firstLine="360"/>
        <w:rPr>
          <w:szCs w:val="24"/>
          <w:lang w:eastAsia="it-IT"/>
        </w:rPr>
      </w:pPr>
      <w:r w:rsidRPr="00561F9F">
        <w:rPr>
          <w:szCs w:val="24"/>
          <w:lang w:eastAsia="it-IT"/>
        </w:rPr>
        <w:t>In line with his predecessor, Sargsyan consistently affirmed the crucial importance of the Armenian-Russian strategic partnership, which is considered essential for strengthening national security (Terzyan 2019, 14-15). Sargsyan often showed strong support for some of the most contentious and ambiguous elements of Russian foreign policy, including matters like the crisis in Ukraine in 2014 and the situation in Syria in 2014-2015 (Terzyan 2018, 17). The importance attributed by Sargsyan to cultivating good relations with Moscow was also reflected in his efforts to secure the appointment of its own representative as the General Secretary of the CSTO (Kopeček 2019, 214). In April 2017, Armenia successfully achieved this objective with the appointment of Yuri Khachaturov, the former Chief of the General Staff of the Armenian army, who was often seen as a member of the "Karabakh clan" (Kucera 2017).</w:t>
      </w:r>
    </w:p>
    <w:p w14:paraId="3BBFCF90" w14:textId="77777777" w:rsidR="00FA1D5F" w:rsidRDefault="00561F9F" w:rsidP="00FA1D5F">
      <w:pPr>
        <w:pStyle w:val="Paragrafoelenco"/>
        <w:spacing w:before="176"/>
        <w:ind w:left="283" w:right="420" w:firstLine="360"/>
        <w:rPr>
          <w:szCs w:val="24"/>
          <w:lang w:eastAsia="it-IT"/>
        </w:rPr>
      </w:pPr>
      <w:r w:rsidRPr="00561F9F">
        <w:rPr>
          <w:szCs w:val="24"/>
          <w:lang w:eastAsia="it-IT"/>
        </w:rPr>
        <w:t>Sargsyan’s downfall during the Armenian Velvet Revolution effectively signaled the end of the influence wielded by the “Karabakh clan” within the political landscape of the Republic of Armenia (Kopeček 2019, 211). According to Poghosyan (2019), two actions taken by the Pashinyan government soon led to heightened tensions with Moscow. Yerevan initiated a criminal investigation into Yuri Khachaturov, the former high-ranking national security official of Armenia, who was serving as the Secretary General of the CSTO at that time. Additionally, the arrest of Kocharyan provoked negative reactions from Moscow, with the Russian foreign minister cautioning against a "political vendetta." </w:t>
      </w:r>
    </w:p>
    <w:p w14:paraId="097D6508" w14:textId="121557B7" w:rsidR="00FA1D5F" w:rsidRPr="00FA1D5F" w:rsidRDefault="00FA1D5F" w:rsidP="00C33B50">
      <w:pPr>
        <w:pStyle w:val="Titolo2"/>
        <w:ind w:firstLine="283"/>
        <w:rPr>
          <w:sz w:val="18"/>
          <w:szCs w:val="18"/>
          <w:lang w:eastAsia="it-IT"/>
        </w:rPr>
      </w:pPr>
      <w:bookmarkStart w:id="70" w:name="_Toc215742682"/>
      <w:r w:rsidRPr="00561F9F">
        <w:t>5.</w:t>
      </w:r>
      <w:r>
        <w:t>2. Russia as a</w:t>
      </w:r>
      <w:r w:rsidR="00031E6D">
        <w:t xml:space="preserve"> P</w:t>
      </w:r>
      <w:r>
        <w:t>rotector</w:t>
      </w:r>
      <w:bookmarkEnd w:id="70"/>
    </w:p>
    <w:p w14:paraId="3E8D5543" w14:textId="64480C8E" w:rsidR="00FA1D5F" w:rsidRDefault="00561F9F" w:rsidP="00FA1D5F">
      <w:pPr>
        <w:pStyle w:val="Paragrafoelenco"/>
        <w:spacing w:before="176"/>
        <w:ind w:left="283" w:right="420" w:firstLine="360"/>
        <w:rPr>
          <w:szCs w:val="24"/>
          <w:lang w:eastAsia="it-IT"/>
        </w:rPr>
      </w:pPr>
      <w:r w:rsidRPr="00561F9F">
        <w:rPr>
          <w:szCs w:val="24"/>
          <w:lang w:eastAsia="it-IT"/>
        </w:rPr>
        <w:t>A significant dynamic that emerged during the events of September 2023 is that Russia's failure or reluctance to deter Azerbaijan from taking over Nagorno-Karabakh has dismantled the long-held belief that the Kremlin would protect the Armenians (Atasuntsev 2023; Zolyan 2023; Shahverdyan 2024). As Vahram Ter-Matevosyan, an associate professor at the American University of Armenia, stated in an interview with CNN shortly after Azerbaijan retook the disputed territory: </w:t>
      </w:r>
    </w:p>
    <w:p w14:paraId="34A54D89" w14:textId="7762C7FE" w:rsidR="00FA1D5F" w:rsidRPr="00FA1D5F" w:rsidRDefault="00FA1D5F" w:rsidP="00FA1D5F">
      <w:pPr>
        <w:widowControl/>
        <w:autoSpaceDE/>
        <w:autoSpaceDN/>
        <w:spacing w:before="176"/>
        <w:ind w:left="283" w:right="420" w:firstLine="720"/>
        <w:jc w:val="center"/>
        <w:textAlignment w:val="baseline"/>
        <w:rPr>
          <w:sz w:val="18"/>
          <w:szCs w:val="18"/>
          <w:lang w:eastAsia="it-IT"/>
        </w:rPr>
      </w:pPr>
      <w:r w:rsidRPr="00561F9F">
        <w:rPr>
          <w:sz w:val="20"/>
          <w:szCs w:val="20"/>
          <w:lang w:eastAsia="it-IT"/>
        </w:rPr>
        <w:t>“Armenia has invested 30 years of its independence – I would even say 200 years of its recent history – in firmly believing that when the time comes and when need arises, Russia would [...] defend Armenia against any foreign aggression. That did not happen” (CNN 2023).</w:t>
      </w:r>
    </w:p>
    <w:p w14:paraId="659494B2" w14:textId="77777777" w:rsidR="00FA1D5F" w:rsidRDefault="00561F9F" w:rsidP="00FA1D5F">
      <w:pPr>
        <w:pStyle w:val="Paragrafoelenco"/>
        <w:spacing w:before="176"/>
        <w:ind w:left="283" w:right="420" w:firstLine="360"/>
        <w:rPr>
          <w:szCs w:val="24"/>
          <w:lang w:eastAsia="it-IT"/>
        </w:rPr>
      </w:pPr>
      <w:r w:rsidRPr="00561F9F">
        <w:rPr>
          <w:szCs w:val="24"/>
          <w:lang w:eastAsia="it-IT"/>
        </w:rPr>
        <w:t>To fully grasp the evolution of the "protector" archetype, essential for elucidating the roles and sequences within the hero-protector narrative, it is crucial to examine the historical context of Russian-Armenian relations from the seventeenth century to the early twentieth century. This image developed through two distinct yet interconnected pathways. One expanded into the Caucasus and Eastern Anatolia, where the Russian army engaged in prolonged conflicts with the Persian and Ottoman Empires. As will be observed, the Tsarist authorities acknowledged the Christian Armenians as allies on the southern frontier, while also recognizing them as a vulnerable minority for whom they bore a religious duty to protect from Muslim oppressors (Blauvelt &amp; Berglund 2016, 70). The second trajectory took place within the Russian Empire, where numerous Armenians established themselves and made significant contributions across diverse domains such as the arts, industry, science, and the military (Suny 1993; Badalyan Riegg 2020).</w:t>
      </w:r>
    </w:p>
    <w:p w14:paraId="64120A7E" w14:textId="77777777" w:rsidR="00FA1D5F" w:rsidRDefault="00561F9F" w:rsidP="00FA1D5F">
      <w:pPr>
        <w:pStyle w:val="Paragrafoelenco"/>
        <w:spacing w:before="176"/>
        <w:ind w:left="283" w:right="420" w:firstLine="360"/>
        <w:rPr>
          <w:szCs w:val="24"/>
          <w:lang w:eastAsia="it-IT"/>
        </w:rPr>
      </w:pPr>
      <w:r w:rsidRPr="00561F9F">
        <w:rPr>
          <w:szCs w:val="24"/>
          <w:lang w:eastAsia="it-IT"/>
        </w:rPr>
        <w:t>Although the initial contact between Russians and Armenians can be traced to the 10th century, when Armenian merchants traversed Byzantine markets along the Black Sea to reach trading posts in Kievan Rus (Badalyan Riegg 2020, 3), it was not until the mid-17th century, when Armenians established themselves as prominent traders and artisans in Moscow and Astrakhan, that Russo-Armenian relations began to develop significantly (Suny 1993, 32). By the end of the century, in fact, Armenians’ economic influence had enabled them to enjoy a distinctive status among the non-Russian ethnic groups within the Russian State (Badalyan Riegg 2020, 12).</w:t>
      </w:r>
    </w:p>
    <w:p w14:paraId="4E24B911" w14:textId="2A815458" w:rsidR="00FA1D5F" w:rsidRDefault="00561F9F" w:rsidP="00FA1D5F">
      <w:pPr>
        <w:pStyle w:val="Paragrafoelenco"/>
        <w:spacing w:before="176"/>
        <w:ind w:left="283" w:right="420" w:firstLine="360"/>
        <w:rPr>
          <w:szCs w:val="24"/>
          <w:lang w:eastAsia="it-IT"/>
        </w:rPr>
      </w:pPr>
      <w:r w:rsidRPr="00561F9F">
        <w:rPr>
          <w:szCs w:val="24"/>
          <w:lang w:eastAsia="it-IT"/>
        </w:rPr>
        <w:t>In 1724, Peter I (1672-1725), exempted Armenians from military service and granted them various economic and social privileges. By 1746, Armenian traders in Astrakhan were enjoying tax-free trading rights and, by 1769, had the exclusive privilege to construct seagoing vessels for Caspian Sea trade. Thirty years later, Catherine the Great upheld Peter the Great's policy by exempting Armenian immigrants from merchant guild enlistment and related taxes. Additionally, she granted Armenians residing in Russia "rights and advantages equal to the Russians" (Suny 1993, 35). The Russian Empire integrated Armenian communities economically and politically as a result of these measures (Ferrari 2015, 61).</w:t>
      </w:r>
    </w:p>
    <w:p w14:paraId="43EB2EA0" w14:textId="77777777" w:rsidR="00FA1D5F" w:rsidRDefault="00561F9F" w:rsidP="00FA1D5F">
      <w:pPr>
        <w:pStyle w:val="Paragrafoelenco"/>
        <w:spacing w:before="176"/>
        <w:ind w:left="283" w:right="420" w:firstLine="360"/>
        <w:rPr>
          <w:szCs w:val="24"/>
          <w:lang w:eastAsia="it-IT"/>
        </w:rPr>
      </w:pPr>
      <w:r w:rsidRPr="00561F9F">
        <w:rPr>
          <w:szCs w:val="24"/>
          <w:lang w:eastAsia="it-IT"/>
        </w:rPr>
        <w:t>Although the initial interactions between the Russian Empire and the Armenians primarily occurred in trade, economic ties emerged as an even more decisive factor in Russo-Armenian relations during the eighteenth and nineteenth centuries (Blauvelt &amp; Berglund 2016; Badalyan Riegg 2020). Despite both adhering to the Orthodox Christian faith, the Russian Church follows the Eastern Orthodox tradition, while the Armenian Church is aligned with the Oriental Orthodox tradition. Christianity was adopted by Kievan Rus' in 988, whereas Armenia, recognized as the first nation to embrace Christianity officially, did so in 301, largely due to the efforts of Gregory the Illuminator and King Tiridates III (Tchilingirian 2014, 472). The main divergence between the two churches stems from the rejection of the Council of Chalcedon's doctrine by Oriental Orthodoxy followers in 451 (Tchilingirian 2014, 473).</w:t>
      </w:r>
    </w:p>
    <w:p w14:paraId="318AE8A1" w14:textId="77777777" w:rsidR="00FA1D5F" w:rsidRDefault="00561F9F" w:rsidP="00FA1D5F">
      <w:pPr>
        <w:pStyle w:val="Paragrafoelenco"/>
        <w:spacing w:before="176"/>
        <w:ind w:left="283" w:right="420" w:firstLine="360"/>
        <w:rPr>
          <w:szCs w:val="24"/>
          <w:lang w:eastAsia="it-IT"/>
        </w:rPr>
      </w:pPr>
      <w:r w:rsidRPr="00561F9F">
        <w:rPr>
          <w:szCs w:val="24"/>
          <w:lang w:eastAsia="it-IT"/>
        </w:rPr>
        <w:t>Two factors contributed to the importance of ecumenical ties in Russian-Armenian relations. The first was the lack of secular authority among Armenians in their historical territories since the mid-seventeenth century (Bournoutian 2021, 237). In fact, between the 15th and 17th centuries, what is referred to as “historic Armenia” experienced two partitions between the Ottoman Empire and Safavid Persia, as outlined in the treaties of Amasya (1555) and Zuhab (1639). The latter agreement resulted in the Ottomans conceding the majority of the South Caucasus to Persia, with the plain of Shuragial and the Arpachai River serving as the border (Bournoutian 1997, 81). The second reason is that, while the schism between Eastern and Oriental Orthodox Christianity may have seemed crucial, it was overshadowed, from the perspective of Armenians, by the immense gulf between Russia and the Muslim Ottoman and Persian Empires (Badalyan Riegg 2020, 13). Mirzoyan (2010, 23) writes that benevolence toward Russia was based on shared Christian heritage and the contrast between barbaric Asiatic Turks and Europeanized Russians. In his novel Wounds of Armenia (Verk’ Hayastani/Վերք Հայաստանի) (1858), Khachatur Abovyan, the founder of modern Eastern Armenian literature, wrote, "Blessed be the hour when the blessed Russian foot stepped upon our holy Armenian land" (Shervinskii 1997, 102).</w:t>
      </w:r>
    </w:p>
    <w:p w14:paraId="4AE4BB09" w14:textId="77777777" w:rsidR="003A2B4A" w:rsidRDefault="00FA1D5F" w:rsidP="003A2B4A">
      <w:pPr>
        <w:keepNext/>
        <w:widowControl/>
        <w:autoSpaceDE/>
        <w:autoSpaceDN/>
        <w:spacing w:before="176"/>
        <w:ind w:left="283" w:right="420" w:firstLine="720"/>
        <w:textAlignment w:val="baseline"/>
      </w:pPr>
      <w:r w:rsidRPr="00561F9F">
        <w:rPr>
          <w:smallCaps/>
          <w:noProof/>
          <w:szCs w:val="24"/>
        </w:rPr>
        <w:drawing>
          <wp:inline distT="0" distB="0" distL="0" distR="0" wp14:anchorId="0AD932DA" wp14:editId="47EDF389">
            <wp:extent cx="5312410" cy="3363034"/>
            <wp:effectExtent l="0" t="0" r="2540" b="8890"/>
            <wp:docPr id="9" name="Immagine 9" descr="C:\Users\morena.cuconato\AppData\Local\Microsoft\Windows\INetCache\Content.MSO\B893D7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orena.cuconato\AppData\Local\Microsoft\Windows\INetCache\Content.MSO\B893D7B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17486" cy="3366247"/>
                    </a:xfrm>
                    <a:prstGeom prst="rect">
                      <a:avLst/>
                    </a:prstGeom>
                    <a:noFill/>
                    <a:ln>
                      <a:noFill/>
                    </a:ln>
                  </pic:spPr>
                </pic:pic>
              </a:graphicData>
            </a:graphic>
          </wp:inline>
        </w:drawing>
      </w:r>
    </w:p>
    <w:p w14:paraId="325C5F14" w14:textId="77C2F004" w:rsidR="00481BF0" w:rsidRPr="003A2B4A" w:rsidRDefault="003A2B4A" w:rsidP="003A2B4A">
      <w:pPr>
        <w:pStyle w:val="Didascalia"/>
        <w:jc w:val="center"/>
        <w:rPr>
          <w:color w:val="auto"/>
          <w:sz w:val="20"/>
          <w:szCs w:val="20"/>
        </w:rPr>
      </w:pPr>
      <w:bookmarkStart w:id="71" w:name="_Toc215742699"/>
      <w:r w:rsidRPr="003A2B4A">
        <w:rPr>
          <w:color w:val="auto"/>
          <w:sz w:val="20"/>
          <w:szCs w:val="20"/>
        </w:rPr>
        <w:t xml:space="preserve">Figure </w:t>
      </w:r>
      <w:r w:rsidRPr="003A2B4A">
        <w:rPr>
          <w:color w:val="auto"/>
          <w:sz w:val="20"/>
          <w:szCs w:val="20"/>
        </w:rPr>
        <w:fldChar w:fldCharType="begin"/>
      </w:r>
      <w:r w:rsidRPr="003A2B4A">
        <w:rPr>
          <w:color w:val="auto"/>
          <w:sz w:val="20"/>
          <w:szCs w:val="20"/>
        </w:rPr>
        <w:instrText xml:space="preserve"> SEQ Figure \* ARABIC </w:instrText>
      </w:r>
      <w:r w:rsidRPr="003A2B4A">
        <w:rPr>
          <w:color w:val="auto"/>
          <w:sz w:val="20"/>
          <w:szCs w:val="20"/>
        </w:rPr>
        <w:fldChar w:fldCharType="separate"/>
      </w:r>
      <w:r w:rsidRPr="003A2B4A">
        <w:rPr>
          <w:noProof/>
          <w:color w:val="auto"/>
          <w:sz w:val="20"/>
          <w:szCs w:val="20"/>
        </w:rPr>
        <w:t>4</w:t>
      </w:r>
      <w:r w:rsidRPr="003A2B4A">
        <w:rPr>
          <w:color w:val="auto"/>
          <w:sz w:val="20"/>
          <w:szCs w:val="20"/>
        </w:rPr>
        <w:fldChar w:fldCharType="end"/>
      </w:r>
      <w:r w:rsidRPr="003A2B4A">
        <w:rPr>
          <w:color w:val="auto"/>
          <w:sz w:val="20"/>
          <w:szCs w:val="20"/>
        </w:rPr>
        <w:t>: Map of the Caucasus in the Late 18th century with the Designation of Eastern and Western Armenia. (Source: Bournoutian 1997, 45).</w:t>
      </w:r>
      <w:bookmarkEnd w:id="71"/>
    </w:p>
    <w:p w14:paraId="74448BF0" w14:textId="77777777" w:rsidR="00FA1D5F" w:rsidRDefault="00561F9F" w:rsidP="00FA1D5F">
      <w:pPr>
        <w:pStyle w:val="Paragrafoelenco"/>
        <w:spacing w:before="176"/>
        <w:ind w:left="283" w:right="420" w:firstLine="360"/>
        <w:rPr>
          <w:szCs w:val="24"/>
          <w:lang w:eastAsia="it-IT"/>
        </w:rPr>
      </w:pPr>
      <w:r w:rsidRPr="00561F9F">
        <w:rPr>
          <w:szCs w:val="24"/>
          <w:lang w:eastAsia="it-IT"/>
        </w:rPr>
        <w:t>Nagorno-Karabakh, in addition to being infamously known for being the subject of the territorial dispute between Azerbaijan, which de jure held sovereignty over it, and its Armenian majority, which declared independence in 1991, can be considered the cradle of the notion of Russia as a protector. In fact, in the early 18th century, the Armenian nobility in this territory along with the Armenian church, attempted to establish a national state with the help and protection of the Russian Empire (Ferrari 2004, 57). In the territories under Persian suzerainty, hereditary Muslim Khanates extended in the mostly flat territories from the Caspian Sea to the Ottoman frontier west of Lake Urmiah, while the plateau of Syunik-Karabakh housed semi-autonomous principalities administered by Armenian petty princes, also known as meliks (Hewsen 1972, 298). Israel Ori, a prominent diplomat engaged in the Armenian liberation movement, facilitated the development of this pro-Russian stance After journeying to several European courts to seek assistance against the Muslim oppressors of his people, in 1699, he was entrusted by the meliks to travel to Russia. In 1701, Ori presented a petition to Peter the Great, endorsed by the "princes and meliks of Greater Armenia” (Ferrari 2004, 58). </w:t>
      </w:r>
    </w:p>
    <w:p w14:paraId="4060FB33" w14:textId="77777777" w:rsidR="00FA1D5F" w:rsidRDefault="00561F9F" w:rsidP="00FA1D5F">
      <w:pPr>
        <w:pStyle w:val="Paragrafoelenco"/>
        <w:spacing w:before="176"/>
        <w:ind w:left="283" w:right="420" w:firstLine="360"/>
        <w:rPr>
          <w:szCs w:val="24"/>
          <w:lang w:eastAsia="it-IT"/>
        </w:rPr>
      </w:pPr>
      <w:r w:rsidRPr="00561F9F">
        <w:rPr>
          <w:szCs w:val="24"/>
          <w:lang w:eastAsia="it-IT"/>
        </w:rPr>
        <w:t>As a result, the image of Armenians as oppressed Christians seeking Russian support became increasingly prominent in the eyes of the Tsars. As American-Armenian historian Ronald Suny noted:</w:t>
      </w:r>
    </w:p>
    <w:p w14:paraId="68BA298A" w14:textId="53647464" w:rsidR="00FA1D5F" w:rsidRPr="00FA1D5F" w:rsidRDefault="00FA1D5F" w:rsidP="00FA1D5F">
      <w:pPr>
        <w:widowControl/>
        <w:autoSpaceDE/>
        <w:autoSpaceDN/>
        <w:spacing w:before="176"/>
        <w:ind w:left="283" w:right="420" w:firstLine="720"/>
        <w:jc w:val="center"/>
        <w:textAlignment w:val="baseline"/>
        <w:rPr>
          <w:sz w:val="18"/>
          <w:szCs w:val="18"/>
          <w:lang w:eastAsia="it-IT"/>
        </w:rPr>
      </w:pPr>
      <w:r w:rsidRPr="00561F9F">
        <w:rPr>
          <w:sz w:val="20"/>
          <w:szCs w:val="20"/>
          <w:lang w:eastAsia="it-IT"/>
        </w:rPr>
        <w:t>"For the Russians, it was important that they had been repeatedly invited to enter Transcaucasia. They saw themselves as both liberators and conquerors—liberators of Christian peoples no longer able to defend themselves and conquerors who had brought glory to the empire by defeating the Muslim” (Suny 1993: 35).</w:t>
      </w:r>
      <w:r w:rsidR="00047E6C">
        <w:rPr>
          <w:rStyle w:val="Rimandonotaapidipagina"/>
          <w:sz w:val="18"/>
          <w:szCs w:val="18"/>
          <w:lang w:eastAsia="it-IT"/>
        </w:rPr>
        <w:footnoteReference w:id="17"/>
      </w:r>
    </w:p>
    <w:p w14:paraId="182357D8" w14:textId="77777777" w:rsidR="00FA1D5F" w:rsidRDefault="00561F9F" w:rsidP="00FA1D5F">
      <w:pPr>
        <w:pStyle w:val="Paragrafoelenco"/>
        <w:spacing w:before="176"/>
        <w:ind w:left="283" w:right="420" w:firstLine="360"/>
        <w:rPr>
          <w:szCs w:val="24"/>
          <w:lang w:eastAsia="it-IT"/>
        </w:rPr>
      </w:pPr>
      <w:r w:rsidRPr="00561F9F">
        <w:rPr>
          <w:szCs w:val="24"/>
          <w:lang w:eastAsia="it-IT"/>
        </w:rPr>
        <w:t>While Saint Petersburg had largely ignored the Armenian cause since the time of Peter the Great, the reign of Catherine II witnessed a notable resurgence in the fate of Christian communities of the South Caucasus (Bournoutian 2021, 91). In his monography “Nagorny-Karabakh in the International Law and World Politics, Documents and Commentary,” Barsegov reports that, in 1781, the meliks appealed to Catherine II (1762-1796) with a request to save the Armenians of Karabakh by accepting them under the protection of Russia:</w:t>
      </w:r>
    </w:p>
    <w:p w14:paraId="22F044F8" w14:textId="38B19071" w:rsidR="00FA1D5F" w:rsidRPr="00FA1D5F" w:rsidRDefault="00FA1D5F" w:rsidP="00FA1D5F">
      <w:pPr>
        <w:widowControl/>
        <w:autoSpaceDE/>
        <w:autoSpaceDN/>
        <w:spacing w:before="176"/>
        <w:ind w:left="283" w:right="420" w:firstLine="720"/>
        <w:jc w:val="center"/>
        <w:textAlignment w:val="baseline"/>
        <w:rPr>
          <w:sz w:val="18"/>
          <w:szCs w:val="18"/>
          <w:lang w:eastAsia="it-IT"/>
        </w:rPr>
      </w:pPr>
      <w:r w:rsidRPr="00561F9F">
        <w:rPr>
          <w:sz w:val="20"/>
          <w:szCs w:val="20"/>
          <w:lang w:eastAsia="it-IT"/>
        </w:rPr>
        <w:t>"We, from the Armenian nation, remaining military meliks and all local owners... humbly request from your humanity and mercy and maternal compassion to render us, Christians, assistance and salvation from our enemies, to deliver us through the victorious power of your weapons from our enemies and the villains of the cross of Christ, and to accept us under your high imperial protection" (Barsegov 2009, 34).</w:t>
      </w:r>
    </w:p>
    <w:p w14:paraId="0B514E70" w14:textId="77777777" w:rsidR="00FA1D5F" w:rsidRDefault="00561F9F" w:rsidP="00FA1D5F">
      <w:pPr>
        <w:pStyle w:val="Paragrafoelenco"/>
        <w:spacing w:before="176"/>
        <w:ind w:left="283" w:right="420" w:firstLine="360"/>
        <w:rPr>
          <w:szCs w:val="24"/>
          <w:lang w:eastAsia="it-IT"/>
        </w:rPr>
      </w:pPr>
      <w:r w:rsidRPr="00561F9F">
        <w:rPr>
          <w:szCs w:val="24"/>
          <w:lang w:eastAsia="it-IT"/>
        </w:rPr>
        <w:t> With the Treaty of Küçük Kaynarca in 1774, which marked the end of the Russo-Turkish War of 1768–74, Catherine imposed upon the Ottoman Empire the obligation of safeguarding its Christian subjects and churches (Jakjimovska, n.d.). Article 1 stated that “pardon and amnesty were granted in relation to all Christian subjects within the Ottoman Empire who fought against the Ottomans” (Jakijimovsjka n.d.) Since then, Russia's emperors called on Ottoman sultans to protect the material and spiritual cultures of their Christian minority, often using it as a pretext for possible military intervention (Badalyan Riegg 2020, 44-45).</w:t>
      </w:r>
    </w:p>
    <w:p w14:paraId="6BA097B4" w14:textId="77777777" w:rsidR="00FA1D5F" w:rsidRDefault="00561F9F" w:rsidP="00FA1D5F">
      <w:pPr>
        <w:pStyle w:val="Paragrafoelenco"/>
        <w:spacing w:before="176"/>
        <w:ind w:left="283" w:right="420" w:firstLine="360"/>
        <w:rPr>
          <w:szCs w:val="24"/>
          <w:lang w:eastAsia="it-IT"/>
        </w:rPr>
      </w:pPr>
      <w:r w:rsidRPr="00561F9F">
        <w:rPr>
          <w:szCs w:val="24"/>
          <w:lang w:eastAsia="it-IT"/>
        </w:rPr>
        <w:t>At the beginning of the 19th century, the Russian Empire decided to respond to Armenian appeals in Persian territories. After that the kingdom of Kartli-Kakheti (eastern Georgia) became a Russian protectorate in 1783 under the reign of Catherine II, her son Paul I formally annexed this territory in 1801. This event marked the beginning of a prolonged Russian presence in the South Caucasus and paved the way for a series of conflicts with the Persian (1805–1813 and 1826–1828) and Ottoman (1807–1812 and 1828–1829) Empires that ultimately resulted in the Russian conquest of the region. In addition to providing logistical support, guiding military expeditions, and gathering intelligence, some members of the Iranian and Ottoman Armenian communities actively fought alongside Russia's Caucasus Corps against their states (Badalyan Riegg 2020, 33-41). </w:t>
      </w:r>
    </w:p>
    <w:p w14:paraId="7CAB41D7" w14:textId="77777777" w:rsidR="00FA1D5F" w:rsidRDefault="00561F9F" w:rsidP="00FA1D5F">
      <w:pPr>
        <w:pStyle w:val="Paragrafoelenco"/>
        <w:spacing w:before="176"/>
        <w:ind w:left="283" w:right="420" w:firstLine="360"/>
        <w:rPr>
          <w:szCs w:val="24"/>
          <w:lang w:eastAsia="it-IT"/>
        </w:rPr>
      </w:pPr>
      <w:r w:rsidRPr="00561F9F">
        <w:rPr>
          <w:szCs w:val="24"/>
          <w:lang w:eastAsia="it-IT"/>
        </w:rPr>
        <w:t>The resurgence of interest in the so-called “Armenian question” by Tsarist authorities can be attributed to the influence of some influential Russian and Armenian figures. The first was Ivan Lazarev, one of the wealthiest tycoons in Catherinian Russia. His family, the Lazaryan/Lazarev, were Persian Armenians that relocated to Astrakhan in 1747 and to Moscow in 1749, achieving success in silk production and jewelry (Bournoutian 2021, 284). Before passing away, he directed financial resources toward the establishment of an educational institution for Armenians in Moscow. The Lazarev Institute was opened in 1815 by a member of his family, Hovakim (Bournoutian 2021, 284). This school played a fundamental role in the development of modern Armenian culture, as a significant part of the national intelligentsia was formed within it, and it advanced Oriental studies in the Russian Empire (Ferrari 2005, 143). </w:t>
      </w:r>
    </w:p>
    <w:p w14:paraId="5130B27A" w14:textId="77777777" w:rsidR="00FA1D5F" w:rsidRDefault="00561F9F" w:rsidP="00FA1D5F">
      <w:pPr>
        <w:pStyle w:val="Paragrafoelenco"/>
        <w:spacing w:before="176"/>
        <w:ind w:left="283" w:right="420" w:firstLine="360"/>
        <w:rPr>
          <w:szCs w:val="24"/>
          <w:lang w:eastAsia="it-IT"/>
        </w:rPr>
      </w:pPr>
      <w:r w:rsidRPr="00561F9F">
        <w:rPr>
          <w:szCs w:val="24"/>
          <w:lang w:eastAsia="it-IT"/>
        </w:rPr>
        <w:t>The second figure was Hovsep Argutinski, a member of the Argutinski-Dolgorukii noble family of Georgian-Armenian roots. In 1773, he was appointed as the Prelate of the Armenians in Russia (Bournoutian 2021, 279). Argutinski strongly supported Russian expansion into the South Caucasus and advocated for a Russian orientation among Russian Armenians (Badalyan Riegg 2020, 14). Atkin (1980, 29) contends that his plan envisioned a Christian protectorate including all the khanates located north of the Aras River, including also those with a few Christian populations. Following her conflict with the Ottomans, Catherine moved the Armenian population of Crimea to a new area by the Don River in 1779. In the subsequent year, she tasked Argutinskii with constructing a town for these newcomers situated in what is now Rostov-on-Don, Nor-Nakhichevan.</w:t>
      </w:r>
    </w:p>
    <w:p w14:paraId="6543784F" w14:textId="77777777" w:rsidR="00FA1D5F" w:rsidRDefault="00561F9F" w:rsidP="00FA1D5F">
      <w:pPr>
        <w:pStyle w:val="Paragrafoelenco"/>
        <w:spacing w:before="176"/>
        <w:ind w:left="283" w:right="420" w:firstLine="360"/>
        <w:rPr>
          <w:szCs w:val="24"/>
          <w:lang w:eastAsia="it-IT"/>
        </w:rPr>
      </w:pPr>
      <w:r w:rsidRPr="00561F9F">
        <w:rPr>
          <w:szCs w:val="24"/>
          <w:lang w:eastAsia="it-IT"/>
        </w:rPr>
        <w:t>Argutinskii’s role became even more significant a decade later, when Russia sought to increase its influence in the election of the Armenian Catholicos. In 1800, Saint Petersburg successfully pushed for Argutinskii's election. However, he passed away in Tiflis in 1801 while en route to Ejmiatsin to assume the position (Bournoutian 2021, 279). Despite this setback, Russia obtained recognition from the Ottoman Empire and Persia of its right to participate in and confirm the Catholicos, ultimately appointing its chosen candidate, Daniel, to the position in 1807 (Werth 2006, 206). </w:t>
      </w:r>
    </w:p>
    <w:p w14:paraId="79018E45" w14:textId="77777777" w:rsidR="00FA1D5F" w:rsidRDefault="00561F9F" w:rsidP="00FA1D5F">
      <w:pPr>
        <w:pStyle w:val="Paragrafoelenco"/>
        <w:spacing w:before="176"/>
        <w:ind w:left="283" w:right="420" w:firstLine="360"/>
        <w:rPr>
          <w:szCs w:val="24"/>
          <w:lang w:eastAsia="it-IT"/>
        </w:rPr>
      </w:pPr>
      <w:r w:rsidRPr="00561F9F">
        <w:rPr>
          <w:szCs w:val="24"/>
          <w:lang w:eastAsia="it-IT"/>
        </w:rPr>
        <w:t>Lastly, Prince Grigorii Potemkin (1739–1791), general field marshal and grand admiral, held a trusted position in Empress Catherine's court. He played a significant role in securing Russian victories over the Ottomans and in the annexation of Crimea (Bournoutian 2021, 288). Bournoutian (2021, 288) argues that Potemkin viewed the Christian subjects in the South Caucasus as natural allies of Russia and advocated for their rebellion against Muslim domination. Moreover, after the Russo-Turkish War of 1787-1792, Catherine instructed Potemkin to establish the town of Grigoriopol in Bessarabia (now located in the de jure Republic of Moldova and de facto Transnistria) to provide a settlement for Armenian refugees from Eastern Romania (Bournoutian 2006, 238-239).  </w:t>
      </w:r>
    </w:p>
    <w:p w14:paraId="4C8B631B" w14:textId="3C81D6DC" w:rsidR="00FA1D5F" w:rsidRDefault="00561F9F" w:rsidP="00FA1D5F">
      <w:pPr>
        <w:pStyle w:val="Paragrafoelenco"/>
        <w:spacing w:before="176"/>
        <w:ind w:left="283" w:right="420" w:firstLine="360"/>
        <w:rPr>
          <w:szCs w:val="24"/>
          <w:lang w:eastAsia="it-IT"/>
        </w:rPr>
      </w:pPr>
      <w:r w:rsidRPr="00561F9F">
        <w:rPr>
          <w:szCs w:val="24"/>
          <w:lang w:eastAsia="it-IT"/>
        </w:rPr>
        <w:t xml:space="preserve">After defeating the Persians and securing the Treaty of Turkmenchay in 1828, Tsar Nicholas I established the Armenian Province (Armyanskaya Oblast’/Армянская область), which included the former Muslim khanates of Yerevan and Nakhichevan (Bournoutian </w:t>
      </w:r>
      <w:r w:rsidR="00CF00FD">
        <w:rPr>
          <w:szCs w:val="24"/>
          <w:lang w:eastAsia="it-IT"/>
        </w:rPr>
        <w:t>2006</w:t>
      </w:r>
      <w:r w:rsidRPr="00561F9F">
        <w:rPr>
          <w:szCs w:val="24"/>
          <w:lang w:eastAsia="it-IT"/>
        </w:rPr>
        <w:t>, 106). Although some areas claimed by Armenians, including Karabakh, were excluded and the province was abolished in 1840, Armenian leaders were nonetheless pleased with their new roles and the granted autonomy (Hovannisian 1971, 34). Furthermore, in 1836, the Russian Empire issued the “Polozhenie,” a decree that granted Armenians complete religious freedom, authority over their educational institutions, and official acknowledgment of their organizational independence (Suny 1993, 40).  </w:t>
      </w:r>
    </w:p>
    <w:p w14:paraId="6C06803B" w14:textId="77777777" w:rsidR="00FA1D5F" w:rsidRDefault="00561F9F" w:rsidP="00FA1D5F">
      <w:pPr>
        <w:pStyle w:val="Paragrafoelenco"/>
        <w:spacing w:before="176"/>
        <w:ind w:left="283" w:right="420" w:firstLine="360"/>
        <w:rPr>
          <w:szCs w:val="24"/>
          <w:lang w:eastAsia="it-IT"/>
        </w:rPr>
      </w:pPr>
      <w:r w:rsidRPr="00561F9F">
        <w:rPr>
          <w:szCs w:val="24"/>
          <w:lang w:eastAsia="it-IT"/>
        </w:rPr>
        <w:t>The emergence of the Armenian Question within the Ottoman Empire in the 19th century also shaped Russo-Armenian relations. The preservation of the protector image was pivotal to the policies of the Tsarist Empire, which consequently aimed to maintain Armenians in a state of perpetual threat from their historical adversaries (Somakyan 1992, 80). </w:t>
      </w:r>
    </w:p>
    <w:p w14:paraId="30A362E9" w14:textId="77777777" w:rsidR="00FA1D5F" w:rsidRDefault="00561F9F" w:rsidP="00FA1D5F">
      <w:pPr>
        <w:pStyle w:val="Paragrafoelenco"/>
        <w:spacing w:before="176"/>
        <w:ind w:left="283" w:right="420" w:firstLine="360"/>
        <w:rPr>
          <w:szCs w:val="24"/>
          <w:lang w:eastAsia="it-IT"/>
        </w:rPr>
      </w:pPr>
      <w:r w:rsidRPr="00561F9F">
        <w:rPr>
          <w:szCs w:val="24"/>
          <w:lang w:eastAsia="it-IT"/>
        </w:rPr>
        <w:t>Saint Petersburg started championing the plight of the Ottoman Armenians and their struggle for administrative reforms with the aim of securing its interests in the Middle East (Hovannisian 1997, 234). During the Russo-Turkish War of 1877-1878, many Armenians, seeing the Tsar as a protector against the destruction brought by local Turkish and Kurdish tribes, decided to join the Russian military forces led by Armenian generals Loris-Melikov and Lazarev (Payaslian 2007, 116). Aleksandr Pushkin, who traveled to the Caucasus and Eastern Turkey during the Russo-Turkish War (1828–29), describes in his novel "Journey to Arzrum during the Campaign of 1829" how the Russian army was welcomed by Armenians upon entering Erzurum.  </w:t>
      </w:r>
    </w:p>
    <w:p w14:paraId="7D568DB2" w14:textId="4F621AED" w:rsidR="00FA1D5F" w:rsidRPr="00FA1D5F" w:rsidRDefault="00FA1D5F" w:rsidP="00FA1D5F">
      <w:pPr>
        <w:widowControl/>
        <w:autoSpaceDE/>
        <w:autoSpaceDN/>
        <w:spacing w:before="176"/>
        <w:ind w:left="283" w:right="420" w:firstLine="720"/>
        <w:jc w:val="center"/>
        <w:textAlignment w:val="baseline"/>
        <w:rPr>
          <w:sz w:val="18"/>
          <w:szCs w:val="18"/>
          <w:lang w:eastAsia="it-IT"/>
        </w:rPr>
      </w:pPr>
      <w:r w:rsidRPr="00561F9F">
        <w:rPr>
          <w:sz w:val="20"/>
          <w:szCs w:val="20"/>
          <w:lang w:eastAsia="it-IT"/>
        </w:rPr>
        <w:t>We entered a city that presented an amazing picture. The Turks looked at us gloomily from their flat roofs. Armenians crowded noisily in the cramped streets. Their boys ran in front of our horses, crossing themselves and repeating, “Christians! Christians!..” (Pushkin 1974, 557)</w:t>
      </w:r>
    </w:p>
    <w:p w14:paraId="75A22C00" w14:textId="77777777" w:rsidR="00FA1D5F" w:rsidRDefault="00561F9F" w:rsidP="00FA1D5F">
      <w:pPr>
        <w:pStyle w:val="Paragrafoelenco"/>
        <w:spacing w:before="176"/>
        <w:ind w:left="283" w:right="420" w:firstLine="360"/>
        <w:rPr>
          <w:szCs w:val="24"/>
          <w:lang w:eastAsia="it-IT"/>
        </w:rPr>
      </w:pPr>
      <w:r w:rsidRPr="00561F9F">
        <w:rPr>
          <w:szCs w:val="24"/>
          <w:lang w:eastAsia="it-IT"/>
        </w:rPr>
        <w:t>Despite the successes at Kars, Bayazid, and Alashkert, which forced the Ottoman Empire to sign the Treaty of Santo Stefano (Payaslian 2007, 116), the Congress of Berlin held after the end of the war significantly cut back Russia’s gains and crushed any hopes for an autonomous Western Armenia (Badalyan Riegg 2020, 168). This period also marked the decline of Armenian-Russian collaboration and the beginning of a period of increased Russian chauvinism against its minorities’ aspirations (Suny 1993, 42). Armenian schools were shut down in 1885, with only Russian permitted as the language of instruction, and anti-Armenian policies peaked in 1903, when the properties of the Gregorian church were confiscated (Mostashari 2017, 44). According to Suny (1993, 32), these events deepened the alienation between Armenians and Russian authorities and contributed to the portrayal of Armenians as "conspiratorial" (Suny 1993, 32).</w:t>
      </w:r>
    </w:p>
    <w:p w14:paraId="70CA0BA6" w14:textId="77777777" w:rsidR="00FA1D5F" w:rsidRDefault="00561F9F" w:rsidP="00FA1D5F">
      <w:pPr>
        <w:pStyle w:val="Paragrafoelenco"/>
        <w:spacing w:before="176"/>
        <w:ind w:left="283" w:right="420" w:firstLine="360"/>
        <w:rPr>
          <w:szCs w:val="24"/>
          <w:lang w:eastAsia="it-IT"/>
        </w:rPr>
      </w:pPr>
      <w:r w:rsidRPr="00561F9F">
        <w:rPr>
          <w:szCs w:val="24"/>
          <w:lang w:eastAsia="it-IT"/>
        </w:rPr>
        <w:t>Nonetheless, even after this period, Armenians loyal to the tsar persisted in working within the Russian political system, which had recently become indifferent to their cause, in hopes of freeing Western Armenians from Ottoman control (Badalyan Riegg 2020, 243). As Holquist (2011, 154) notes, after the Ottoman Empire initiated military actions against the Russian Empire in late October 1914, certain factions within the Russian government began to view Ottoman Armenians as potential allies. Emperor Nicholas II even conveyed to Armenian Catholicos Kevork V that "a most brilliant future awaits the Armenians" (Holquist 2011, 154).</w:t>
      </w:r>
    </w:p>
    <w:p w14:paraId="7DD6487A" w14:textId="77777777" w:rsidR="00FA1D5F" w:rsidRDefault="00561F9F" w:rsidP="00FA1D5F">
      <w:pPr>
        <w:pStyle w:val="Paragrafoelenco"/>
        <w:spacing w:before="176"/>
        <w:ind w:left="283" w:right="420" w:firstLine="360"/>
        <w:rPr>
          <w:szCs w:val="24"/>
          <w:lang w:eastAsia="it-IT"/>
        </w:rPr>
      </w:pPr>
      <w:r w:rsidRPr="00561F9F">
        <w:rPr>
          <w:szCs w:val="24"/>
          <w:lang w:eastAsia="it-IT"/>
        </w:rPr>
        <w:t>Additionally, in early 1915, Foreign Minister Sazonov addressed the State Duma, proclaiming that "at the conclusion of the war, this exceptional state [the peace negotiations] will be utilized by the Imperial government in a manner favorable to the Armenian population" (Holquist 2011, 154). However, moments of alienation between the two sides persisted. In the end, Saint Petersburg's lack of geopolitical motivation and limited resources, coupled with the Porte’s assertion that Armenians acted as a fifth column for Russia, significantly influenced the dynamics leading to the Armenian Genocide by the Ottoman Empire (Holquist 2011; Badalyan Riegg 2020).</w:t>
      </w:r>
    </w:p>
    <w:p w14:paraId="762A77CF" w14:textId="77777777" w:rsidR="00FA1D5F" w:rsidRDefault="00561F9F" w:rsidP="00FA1D5F">
      <w:pPr>
        <w:pStyle w:val="Paragrafoelenco"/>
        <w:spacing w:before="176"/>
        <w:ind w:left="283" w:right="420" w:firstLine="360"/>
        <w:rPr>
          <w:szCs w:val="24"/>
          <w:lang w:eastAsia="it-IT"/>
        </w:rPr>
      </w:pPr>
      <w:r w:rsidRPr="00561F9F">
        <w:rPr>
          <w:szCs w:val="24"/>
          <w:lang w:eastAsia="it-IT"/>
        </w:rPr>
        <w:t>Holquist (2011, 154) mentions that when the Russian government became aware of the systematic massacre of Armenians perpetrated by the Ottoman Empire, it urged its Allies to issue a statement denouncing the genocide and holding Ottoman officials personally accountable for these atrocities. Released on May 24, 1915, this statement marked the first international document to reference "crimes against humanity" and that this term had been introduced by the Russians. </w:t>
      </w:r>
    </w:p>
    <w:p w14:paraId="57515968" w14:textId="77777777" w:rsidR="001C5F72" w:rsidRDefault="00FA1D5F" w:rsidP="001C5F72">
      <w:pPr>
        <w:keepNext/>
        <w:widowControl/>
        <w:autoSpaceDE/>
        <w:autoSpaceDN/>
        <w:spacing w:before="176"/>
        <w:ind w:left="283" w:right="420" w:firstLine="720"/>
        <w:jc w:val="center"/>
        <w:textAlignment w:val="baseline"/>
      </w:pPr>
      <w:r w:rsidRPr="00561F9F">
        <w:rPr>
          <w:smallCaps/>
          <w:noProof/>
          <w:szCs w:val="24"/>
        </w:rPr>
        <w:drawing>
          <wp:inline distT="0" distB="0" distL="0" distR="0" wp14:anchorId="5706C6C0" wp14:editId="6F3060BA">
            <wp:extent cx="3744686" cy="5385070"/>
            <wp:effectExtent l="0" t="0" r="8255" b="6350"/>
            <wp:docPr id="8" name="Immagine 8" descr="C:\Users\morena.cuconato\AppData\Local\Microsoft\Windows\INetCache\Content.MSO\6DCFD8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orena.cuconato\AppData\Local\Microsoft\Windows\INetCache\Content.MSO\6DCFD88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7676" cy="5389370"/>
                    </a:xfrm>
                    <a:prstGeom prst="rect">
                      <a:avLst/>
                    </a:prstGeom>
                    <a:noFill/>
                    <a:ln>
                      <a:noFill/>
                    </a:ln>
                  </pic:spPr>
                </pic:pic>
              </a:graphicData>
            </a:graphic>
          </wp:inline>
        </w:drawing>
      </w:r>
    </w:p>
    <w:p w14:paraId="3B023ED4" w14:textId="712BD2AD" w:rsidR="00FA1D5F" w:rsidRPr="001C5F72" w:rsidRDefault="001C5F72" w:rsidP="001C5F72">
      <w:pPr>
        <w:pStyle w:val="Didascalia"/>
        <w:jc w:val="center"/>
        <w:rPr>
          <w:color w:val="auto"/>
          <w:sz w:val="20"/>
          <w:szCs w:val="20"/>
          <w:lang w:eastAsia="it-IT"/>
        </w:rPr>
      </w:pPr>
      <w:bookmarkStart w:id="72" w:name="_Toc215742700"/>
      <w:r w:rsidRPr="001C5F72">
        <w:rPr>
          <w:color w:val="auto"/>
          <w:sz w:val="20"/>
          <w:szCs w:val="20"/>
        </w:rPr>
        <w:t xml:space="preserve">Figure </w:t>
      </w:r>
      <w:r w:rsidRPr="001C5F72">
        <w:rPr>
          <w:color w:val="auto"/>
          <w:sz w:val="20"/>
          <w:szCs w:val="20"/>
        </w:rPr>
        <w:fldChar w:fldCharType="begin"/>
      </w:r>
      <w:r w:rsidRPr="001C5F72">
        <w:rPr>
          <w:color w:val="auto"/>
          <w:sz w:val="20"/>
          <w:szCs w:val="20"/>
        </w:rPr>
        <w:instrText xml:space="preserve"> SEQ Figure \* ARABIC </w:instrText>
      </w:r>
      <w:r w:rsidRPr="001C5F72">
        <w:rPr>
          <w:color w:val="auto"/>
          <w:sz w:val="20"/>
          <w:szCs w:val="20"/>
        </w:rPr>
        <w:fldChar w:fldCharType="separate"/>
      </w:r>
      <w:r w:rsidR="003A2B4A">
        <w:rPr>
          <w:noProof/>
          <w:color w:val="auto"/>
          <w:sz w:val="20"/>
          <w:szCs w:val="20"/>
        </w:rPr>
        <w:t>5</w:t>
      </w:r>
      <w:r w:rsidRPr="001C5F72">
        <w:rPr>
          <w:color w:val="auto"/>
          <w:sz w:val="20"/>
          <w:szCs w:val="20"/>
        </w:rPr>
        <w:fldChar w:fldCharType="end"/>
      </w:r>
      <w:r w:rsidRPr="001C5F72">
        <w:rPr>
          <w:color w:val="auto"/>
          <w:sz w:val="20"/>
          <w:szCs w:val="20"/>
        </w:rPr>
        <w:t>: The Cover of the June 30, 2016, edition of "Excelsior" featured an illustration of a Russian soldier on horseback holding a refugee child. The image was labeled, "The Symbol of Russian Protection of the Armenians.” (Source, Darbinyan, 2016)</w:t>
      </w:r>
      <w:bookmarkEnd w:id="72"/>
    </w:p>
    <w:p w14:paraId="0DB4EBB0" w14:textId="38DB405E" w:rsidR="00FA1D5F" w:rsidRDefault="00561F9F" w:rsidP="00FA1D5F">
      <w:pPr>
        <w:pStyle w:val="Paragrafoelenco"/>
        <w:spacing w:before="176"/>
        <w:ind w:left="283" w:right="420" w:firstLine="360"/>
        <w:rPr>
          <w:szCs w:val="24"/>
          <w:lang w:eastAsia="it-IT"/>
        </w:rPr>
      </w:pPr>
      <w:r w:rsidRPr="00561F9F">
        <w:rPr>
          <w:szCs w:val="24"/>
          <w:lang w:eastAsia="it-IT"/>
        </w:rPr>
        <w:t>Despite the disintegration of the Russian Empire and the religious origins of the protector narrative, this image persisted through the distinct ideological characteristics of the Soviet era, becoming intricately interwoven with Russia's self-identity and collective memory. This can be observed in Armenian-Soviet historiography, where the Russian conquest of the Caucasus was framed as the foundation of a "centuries-old friendship between the Armenian and Russian peoples" or as a "union" (prisoedinenie/ присоединение in Russian, miac’um/միացում in Armenian) (Ferrari 2005, 140). For example, in his “Russia in the destinies of Armenians and Armenia," the Soviet-Armenian historian and academician Tsatur Pavlovic Aghayan wrote</w:t>
      </w:r>
      <w:r w:rsidR="00FA1D5F">
        <w:rPr>
          <w:szCs w:val="24"/>
          <w:lang w:eastAsia="it-IT"/>
        </w:rPr>
        <w:t>:</w:t>
      </w:r>
    </w:p>
    <w:p w14:paraId="6F9D9350" w14:textId="42C35352" w:rsidR="00FA1D5F" w:rsidRPr="00FA1D5F" w:rsidRDefault="00FA1D5F" w:rsidP="00FA1D5F">
      <w:pPr>
        <w:widowControl/>
        <w:autoSpaceDE/>
        <w:autoSpaceDN/>
        <w:spacing w:before="176"/>
        <w:ind w:left="283" w:right="420" w:firstLine="720"/>
        <w:jc w:val="center"/>
        <w:textAlignment w:val="baseline"/>
        <w:rPr>
          <w:sz w:val="18"/>
          <w:szCs w:val="18"/>
          <w:lang w:eastAsia="it-IT"/>
        </w:rPr>
      </w:pPr>
      <w:r w:rsidRPr="00561F9F">
        <w:rPr>
          <w:sz w:val="20"/>
          <w:szCs w:val="20"/>
          <w:lang w:eastAsia="it-IT"/>
        </w:rPr>
        <w:t>“The Russian orientation of the Armenian people is one of the most significant phenomena in the history of the Armenian nation over the last three centuries. It emerged and developed as an inevitable part of the liberation struggle of the Armenian people directed against Qajar Iran and Ottoman Turkey” (Aghayan 1994, 1).</w:t>
      </w:r>
    </w:p>
    <w:p w14:paraId="20ADF254" w14:textId="77777777" w:rsidR="00FA1D5F" w:rsidRDefault="00561F9F" w:rsidP="00FA1D5F">
      <w:pPr>
        <w:pStyle w:val="Paragrafoelenco"/>
        <w:spacing w:before="176"/>
        <w:ind w:left="283" w:right="420" w:firstLine="360"/>
        <w:rPr>
          <w:szCs w:val="24"/>
          <w:lang w:eastAsia="it-IT"/>
        </w:rPr>
      </w:pPr>
      <w:r w:rsidRPr="00561F9F">
        <w:rPr>
          <w:szCs w:val="24"/>
          <w:lang w:eastAsia="it-IT"/>
        </w:rPr>
        <w:t>The Armenian Apostolic Church also played a crucial role in sustaining the protector narrative following the Russian Empire's collapse. In the 19th and 20th centuries, the Armenian Church, under the authority of the Catholicos, served as a conduit for Tsarist authorities to project influence along Russia's southern borders and extend power over neighboring states (Werth 2006, 204). Subsequently, it adapted to Soviet rule by integrating into the regime's bureaucratic structures and publicly endorsing it (Guroian 1992, 31). Dyatlov &amp; Melonian (2009, 33-34) argue that, during the Soviet era, Armenians did not view the Armenian Soviet Socialist Republic (SSR) as a foreign state but rather as an integral part of a shared national identity. Alongside Armenian voluntary associations, the Church was also instrumental in nurturing the Armenian diaspora in Russia, which emerged in response to national and religious persecution, genocide, and forced displacement from their homeland (Ziemer 2016, 43). In November 2022, Catholicos Garegin II was awarded a Russian state medal by President Vladimir Putin for his significant contribution to the advancement of cultural and humanitarian relations between Russia and Armenia.</w:t>
      </w:r>
    </w:p>
    <w:p w14:paraId="4994EDB1" w14:textId="77777777" w:rsidR="00FA1D5F" w:rsidRDefault="00561F9F" w:rsidP="00FA1D5F">
      <w:pPr>
        <w:pStyle w:val="Paragrafoelenco"/>
        <w:spacing w:before="176"/>
        <w:ind w:left="283" w:right="420" w:firstLine="360"/>
        <w:rPr>
          <w:szCs w:val="24"/>
          <w:lang w:eastAsia="it-IT"/>
        </w:rPr>
      </w:pPr>
      <w:r w:rsidRPr="00561F9F">
        <w:rPr>
          <w:szCs w:val="24"/>
          <w:lang w:eastAsia="it-IT"/>
        </w:rPr>
        <w:t xml:space="preserve">Historians have acknowledged the crucial role that the image of Russia as a protector played in shaping contemporary Armenian political identity (Suny 1993; Shnirelman 2001; Libaridian 2007; Payaslian 2007; Badalyan Riegg 2020). Although this topic has also garnered some attention in the IR literature (Oskanyan 2013; Terzyan 2018; Abushov 2019; Terzyan 2023), much of the focus of such publications has been on how the portrayal of Russia as a savior, shaped by hostile perceptions of Azerbaijan and Turkey, incentivized the Armenian leadership to securitize the Nagorno-Karabakh conflict. For example, Mirzoyan </w:t>
      </w:r>
      <w:r w:rsidR="00FA1D5F">
        <w:rPr>
          <w:szCs w:val="24"/>
          <w:lang w:eastAsia="it-IT"/>
        </w:rPr>
        <w:t>claims</w:t>
      </w:r>
      <w:r w:rsidRPr="00561F9F">
        <w:rPr>
          <w:szCs w:val="24"/>
          <w:lang w:eastAsia="it-IT"/>
        </w:rPr>
        <w:t>: </w:t>
      </w:r>
    </w:p>
    <w:p w14:paraId="46BF5A3A" w14:textId="77777777" w:rsidR="00FA1D5F" w:rsidRPr="00FA1D5F" w:rsidRDefault="00FA1D5F" w:rsidP="00FA1D5F">
      <w:pPr>
        <w:widowControl/>
        <w:autoSpaceDE/>
        <w:autoSpaceDN/>
        <w:spacing w:before="176"/>
        <w:ind w:left="283" w:right="420"/>
        <w:jc w:val="center"/>
        <w:textAlignment w:val="baseline"/>
        <w:rPr>
          <w:sz w:val="18"/>
          <w:szCs w:val="18"/>
          <w:lang w:eastAsia="it-IT"/>
        </w:rPr>
      </w:pPr>
      <w:r w:rsidRPr="00561F9F">
        <w:rPr>
          <w:sz w:val="20"/>
          <w:szCs w:val="20"/>
          <w:lang w:eastAsia="it-IT"/>
        </w:rPr>
        <w:t>“Armenian-Russian relations in the post-Soviet period should be situated within the complex interplay of the Armenian self that, for the last two centuries, has been premised on the idea of Russian support and regional geopolitics. Largely, the official articulation of this policy in Yerevan as  “natural” and “organic” has coincided with the traditional Armenian perception of Russia as a protector” (Mirzoyan 2010, 53).</w:t>
      </w:r>
    </w:p>
    <w:p w14:paraId="5C1FB068" w14:textId="603C73FC" w:rsidR="00FA1D5F" w:rsidRPr="00036037" w:rsidRDefault="00FA1D5F" w:rsidP="00AC5A4C">
      <w:pPr>
        <w:pStyle w:val="Titolo2"/>
        <w:ind w:firstLine="283"/>
      </w:pPr>
      <w:bookmarkStart w:id="73" w:name="_Toc215742683"/>
      <w:r w:rsidRPr="00036037">
        <w:t>Conclusion</w:t>
      </w:r>
      <w:bookmarkEnd w:id="73"/>
    </w:p>
    <w:p w14:paraId="71DC679B" w14:textId="77777777" w:rsidR="00FA1D5F" w:rsidRDefault="00561F9F" w:rsidP="00FA1D5F">
      <w:pPr>
        <w:pStyle w:val="Paragrafoelenco"/>
        <w:spacing w:before="176"/>
        <w:ind w:left="283" w:right="420" w:firstLine="360"/>
        <w:rPr>
          <w:szCs w:val="24"/>
          <w:lang w:eastAsia="it-IT"/>
        </w:rPr>
      </w:pPr>
      <w:r w:rsidRPr="00561F9F">
        <w:rPr>
          <w:szCs w:val="24"/>
          <w:lang w:eastAsia="it-IT"/>
        </w:rPr>
        <w:t>This chapter has established the contextual foundations essential for the dissertation’s empirical analysis by situating contemporary Russian–Armenian relations within both their post-Soviet trajectory and deeper historical context. After 1991, Armenia’s security and economic choices coalesced around a structural dependency on Moscow. Military bases, border management, alliance mechanisms, and integration into Russian-led security and economic frameworks together created a post-Soviet environment in which the Kremlin emerged as Yerevan’s primary guarantor of security. Within this context, the Nagorno-Karabakh conflict was a major factor in solidifying Armenia's dependence on Russia, fostering the expectation that Moscow would assume responsibility for Armenian security. </w:t>
      </w:r>
    </w:p>
    <w:p w14:paraId="36D85672" w14:textId="77777777" w:rsidR="00FA1D5F" w:rsidRDefault="00561F9F" w:rsidP="00FA1D5F">
      <w:pPr>
        <w:pStyle w:val="Paragrafoelenco"/>
        <w:spacing w:before="176"/>
        <w:ind w:left="283" w:right="420" w:firstLine="360"/>
        <w:rPr>
          <w:szCs w:val="24"/>
          <w:lang w:eastAsia="it-IT"/>
        </w:rPr>
      </w:pPr>
      <w:r w:rsidRPr="00561F9F">
        <w:rPr>
          <w:szCs w:val="24"/>
          <w:lang w:eastAsia="it-IT"/>
        </w:rPr>
        <w:t>Nonetheless, as demonstrated in the chapter’s second section, this post-Soviet dynamic is rooted in a much longer history of Russo-Armenian interaction. In terms of Russia’s ontological security, Armenia has functioned as a significant “Other” in the South Caucasus, reflecting the longstanding notion of Russia as protector of defenseless Christians. While existing scholarship has primarily examined this concept in relation to Armenian political identity, I argue that it has also been central to Russian self-understanding, particularly in the post-Soviet context, as Russia sought to reaffirm its ontological security following the collapse of the Soviet Union. </w:t>
      </w:r>
    </w:p>
    <w:p w14:paraId="025C6F16" w14:textId="77777777" w:rsidR="00FA1D5F" w:rsidRDefault="00561F9F" w:rsidP="00FA1D5F">
      <w:pPr>
        <w:pStyle w:val="Paragrafoelenco"/>
        <w:spacing w:before="176"/>
        <w:ind w:left="283" w:right="420" w:firstLine="360"/>
        <w:rPr>
          <w:szCs w:val="24"/>
          <w:lang w:eastAsia="it-IT"/>
        </w:rPr>
      </w:pPr>
      <w:r w:rsidRPr="00561F9F">
        <w:rPr>
          <w:szCs w:val="24"/>
          <w:lang w:eastAsia="it-IT"/>
        </w:rPr>
        <w:t>The idea of Russia as protector developed over centuries, beginning with interactions between the Russian Empire and Armenians in the seventeenth century, from the petitions of the Karabakh meliks to the imperial protector role over Christians in Ottoman and Persian domains, and later through Soviet-era narratives of “centuries-old friendship.” As Russia expanded into the Caucasus and integrated Armenians into its economic, ecclesiastical, and political spheres, their image as vulnerable victims became a defining lens through which the Tsars perceived the region. Simultaneously, Saint Petersburg valued Armenian recognition of this protective role and maintained conditions that would encourage Armenians to feel threatened and consequently seek Russian assistance. </w:t>
      </w:r>
    </w:p>
    <w:p w14:paraId="3A23D0FF" w14:textId="77777777" w:rsidR="00FA1D5F" w:rsidRDefault="00561F9F" w:rsidP="00FA1D5F">
      <w:pPr>
        <w:pStyle w:val="Paragrafoelenco"/>
        <w:spacing w:before="176"/>
        <w:ind w:left="283" w:right="420" w:firstLine="360"/>
        <w:rPr>
          <w:szCs w:val="24"/>
          <w:lang w:eastAsia="it-IT"/>
        </w:rPr>
      </w:pPr>
      <w:r w:rsidRPr="00561F9F">
        <w:rPr>
          <w:szCs w:val="24"/>
          <w:lang w:eastAsia="it-IT"/>
        </w:rPr>
        <w:t>As Suny (1993) and Soumakyan (1992) demonstrate, Armenia’s appeals for protection also served an ontological function for Tsarist authorities. While geopolitical interests were relevant, these pledges allowed the Tsars to affirm their own sense of honor by performing and being recognized in this protective role. This symbolic framework, grounded in protection, moral responsibility, and relational intimacy, shaped Russia’s perception of Armenia as well as its own self-conception. Over centuries of repeated political and discursive practice, the image of Russia as protector became entrenched, forming the symbolic infrastructure through which contemporary Russian involvement can be understood. </w:t>
      </w:r>
    </w:p>
    <w:p w14:paraId="7A44259D" w14:textId="77777777" w:rsidR="00271D80" w:rsidRDefault="00561F9F" w:rsidP="00271D80">
      <w:pPr>
        <w:pStyle w:val="Paragrafoelenco"/>
        <w:spacing w:before="176"/>
        <w:ind w:left="283" w:right="420" w:firstLine="360"/>
        <w:rPr>
          <w:szCs w:val="24"/>
          <w:lang w:eastAsia="it-IT"/>
        </w:rPr>
      </w:pPr>
      <w:r w:rsidRPr="00561F9F">
        <w:rPr>
          <w:szCs w:val="24"/>
          <w:lang w:eastAsia="it-IT"/>
        </w:rPr>
        <w:t>Building on this historical and symbolic context, the chapter provides analytical clarity through the hero-protector framework. In the post-Soviet period, Armenia occupies the position of victim, vulnerable, historically wronged, and exposed, while Russia assumes the morally validated role of hero-protector. Historical aggressors, such as the Ottoman Empire, are echoed in contemporary actors like Azerbaijan and Turkey, who remain central in Armenian narratives as adversaries. Yet moments when Armenians failed to recognize Russia’s protective role occasionally led the Tsars to alienate Armenians or portray them as conspiratorial. The empirical chapters will examine how these historical patterns continue to shape Russian interpretations of crises and periods of relative calm in contemporary Russian-Armenian relations.</w:t>
      </w:r>
    </w:p>
    <w:p w14:paraId="2ECC2A65" w14:textId="77777777" w:rsidR="00681368" w:rsidRPr="00B12E3E" w:rsidRDefault="00681368" w:rsidP="00B12E3E">
      <w:pPr>
        <w:spacing w:before="176"/>
        <w:ind w:right="420" w:firstLine="0"/>
        <w:rPr>
          <w:szCs w:val="24"/>
          <w:lang w:eastAsia="it-IT"/>
        </w:rPr>
      </w:pPr>
    </w:p>
    <w:p w14:paraId="70157F50" w14:textId="6EC1C5E9" w:rsidR="00F9646F" w:rsidRPr="00AC5A4C" w:rsidRDefault="00AC5A4C" w:rsidP="00AC5A4C">
      <w:pPr>
        <w:pStyle w:val="Titolo1"/>
      </w:pPr>
      <w:bookmarkStart w:id="74" w:name="_Toc215742684"/>
      <w:r>
        <w:t>6</w:t>
      </w:r>
      <w:r w:rsidR="00F9646F">
        <w:t xml:space="preserve">. Russia’s </w:t>
      </w:r>
      <w:r w:rsidR="00031E6D">
        <w:t>P</w:t>
      </w:r>
      <w:r w:rsidR="00F9646F">
        <w:t xml:space="preserve">olitics of </w:t>
      </w:r>
      <w:r w:rsidR="00031E6D">
        <w:t>D</w:t>
      </w:r>
      <w:r w:rsidR="00F9646F">
        <w:t>eference</w:t>
      </w:r>
      <w:bookmarkEnd w:id="74"/>
    </w:p>
    <w:p w14:paraId="0B1AC6CF" w14:textId="272C07AF" w:rsidR="00F9646F" w:rsidRPr="00F9646F" w:rsidRDefault="00F9646F" w:rsidP="00AC5A4C">
      <w:pPr>
        <w:pStyle w:val="Titolo2"/>
        <w:ind w:firstLine="282"/>
      </w:pPr>
      <w:bookmarkStart w:id="75" w:name="_Toc215742685"/>
      <w:r>
        <w:t>Introduction</w:t>
      </w:r>
      <w:bookmarkEnd w:id="75"/>
    </w:p>
    <w:p w14:paraId="19AE245B" w14:textId="2D9D6AE6" w:rsidR="00271D80" w:rsidRDefault="00271D80" w:rsidP="00271D80">
      <w:pPr>
        <w:pStyle w:val="Paragrafoelenco"/>
        <w:spacing w:before="176"/>
        <w:ind w:left="283" w:right="420" w:firstLine="360"/>
        <w:rPr>
          <w:szCs w:val="24"/>
          <w:lang w:eastAsia="it-IT"/>
        </w:rPr>
      </w:pPr>
      <w:r w:rsidRPr="00271D80">
        <w:rPr>
          <w:szCs w:val="24"/>
          <w:lang w:eastAsia="it-IT"/>
        </w:rPr>
        <w:t xml:space="preserve">With the theoretical, methodological, and contextual groundwork of my study on the post-Soviet Russian Self in place, this dissertation now advances to the empirical analysis of official and semi-official discourse. The current chapter is predicated on the assumption that Russia’s (dis)engagement in the Nagorno-Karabakh conflict can be comprehended not only through the lens of its strategic interests and geopolitical stance in the South Caucasus but also as an effort to attain ontological security.  </w:t>
      </w:r>
    </w:p>
    <w:p w14:paraId="3E89F303" w14:textId="77777777" w:rsidR="00271D80" w:rsidRDefault="00271D80" w:rsidP="00271D80">
      <w:pPr>
        <w:pStyle w:val="Paragrafoelenco"/>
        <w:spacing w:before="176"/>
        <w:ind w:left="283" w:right="420" w:firstLine="360"/>
        <w:rPr>
          <w:szCs w:val="24"/>
          <w:lang w:eastAsia="it-IT"/>
        </w:rPr>
      </w:pPr>
      <w:r w:rsidRPr="00271D80">
        <w:rPr>
          <w:szCs w:val="24"/>
          <w:lang w:eastAsia="it-IT"/>
        </w:rPr>
        <w:t xml:space="preserve">This effort reflected Russian actors' mnemonic recollections of the region's Tsarist history and manifested as a politics of deference toward Armenia, wherein their perception of the latter’s recognition of Russia as a hero-protector reinforced a cohesive biographical narrative and reaffirmed a sense of honor that has historically constituted a core element of Russian identity (Tsygankov 2014a; Kollmann 2017).  </w:t>
      </w:r>
    </w:p>
    <w:p w14:paraId="209123A4" w14:textId="77777777" w:rsidR="00271D80" w:rsidRDefault="00271D80" w:rsidP="00271D80">
      <w:pPr>
        <w:pStyle w:val="Paragrafoelenco"/>
        <w:spacing w:before="176"/>
        <w:ind w:left="283" w:right="420" w:firstLine="360"/>
        <w:rPr>
          <w:szCs w:val="24"/>
          <w:lang w:eastAsia="it-IT"/>
        </w:rPr>
      </w:pPr>
      <w:r w:rsidRPr="00271D80">
        <w:rPr>
          <w:szCs w:val="24"/>
          <w:lang w:eastAsia="it-IT"/>
        </w:rPr>
        <w:t xml:space="preserve">To trace how the politics of deference was expressed, promoted, and protected, I have drawn on the hero-protector narrative of Clément et al. (2016) and taken an abductive approach to examine this framework within Russian discussions during critical junctures in the Nagorno-Karabakh conflict. In my analysis of my 75 primary sources, I have employed a methodological approach that combines qualitative thematic analysis with Emotion Discourse Analysis (EDA).  </w:t>
      </w:r>
    </w:p>
    <w:p w14:paraId="4EC27FD1" w14:textId="77777777" w:rsidR="00300A40" w:rsidRDefault="00271D80" w:rsidP="00300A40">
      <w:pPr>
        <w:pStyle w:val="Paragrafoelenco"/>
        <w:spacing w:before="176"/>
        <w:ind w:left="283" w:right="420" w:firstLine="360"/>
        <w:rPr>
          <w:szCs w:val="24"/>
          <w:lang w:eastAsia="it-IT"/>
        </w:rPr>
      </w:pPr>
      <w:r w:rsidRPr="00271D80">
        <w:rPr>
          <w:szCs w:val="24"/>
          <w:lang w:eastAsia="it-IT"/>
        </w:rPr>
        <w:t>While the first method helps identify the roles in the hero-protector narrative in the corpus, the second reveals the emotional mechanisms through which Russia expressed and managed its ontological security concerns related to these roles. In this way, I plan to address the research question, which I restate here: How did concerns over ontological security shape Russia’s discourse toward Armenia during the Nagorno-Karabakh conflict (2015–2024)?</w:t>
      </w:r>
    </w:p>
    <w:p w14:paraId="7EAA6018"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 chapter is structured as follows. For each critical juncture, encompassing the periods 2015–2018, 2020–2022, and 2023–2024, a specific section will delineate each role within the hero-protector narrative, analyze the correlation between Russian actors' experiences of ontological security and insecurity, and examine patterns of change and continuity across these three pivotal moments. </w:t>
      </w:r>
    </w:p>
    <w:p w14:paraId="74216D61" w14:textId="1F3C380F" w:rsidR="00300A40" w:rsidRDefault="00F9646F" w:rsidP="00AC5A4C">
      <w:pPr>
        <w:pStyle w:val="Titolo2"/>
        <w:ind w:firstLine="283"/>
        <w:rPr>
          <w:lang w:eastAsia="it-IT"/>
        </w:rPr>
      </w:pPr>
      <w:bookmarkStart w:id="76" w:name="_Toc215742686"/>
      <w:r>
        <w:t xml:space="preserve">6.1. First </w:t>
      </w:r>
      <w:r w:rsidR="00031E6D">
        <w:t>P</w:t>
      </w:r>
      <w:r>
        <w:t>eriod (2015-2018)</w:t>
      </w:r>
      <w:bookmarkEnd w:id="76"/>
      <w:r w:rsidR="00271D80" w:rsidRPr="00300A40">
        <w:rPr>
          <w:lang w:eastAsia="it-IT"/>
        </w:rPr>
        <w:t xml:space="preserve"> </w:t>
      </w:r>
    </w:p>
    <w:p w14:paraId="2E95042F"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This initial critical juncture can be considered as a phase of “consolidation” for the hero-protector narrative. During this period, Russian actors consistently portrayed the Kremlin as the hero-protector and Armenia as a victim, explicitly connecting the deeds of the Tsarist Empire to Moscow's security practices in the Nagorno-Karabakh conflict.  </w:t>
      </w:r>
    </w:p>
    <w:p w14:paraId="39CC4641" w14:textId="77777777" w:rsidR="00300A40" w:rsidRDefault="00271D80" w:rsidP="00300A40">
      <w:pPr>
        <w:pStyle w:val="Paragrafoelenco"/>
        <w:spacing w:before="176"/>
        <w:ind w:left="283" w:right="420" w:firstLine="360"/>
        <w:rPr>
          <w:szCs w:val="24"/>
          <w:lang w:eastAsia="it-IT"/>
        </w:rPr>
      </w:pPr>
      <w:r w:rsidRPr="00300A40">
        <w:rPr>
          <w:szCs w:val="24"/>
          <w:lang w:eastAsia="it-IT"/>
        </w:rPr>
        <w:t>For example, Armenians were often characterized as “defenseless” (беззащитные/bezashchitnye) and “peaceful people” (мирные люди/mirnye lyudi), who were “killed and mutilated” (убиты, искалечены/ubity, iskaleceny) and “driven from their homes” (изгнаны из родных домов/izgnany iz rodnykh domov), while their cultural heritage suffered through the destruction of “spiritual sanctities” (духовные святыни/dukhovnye svyatyni) and “priceless manuscripts” (бесценные рукописи/bestsennye rukopisi) (Putin 2015).</w:t>
      </w:r>
    </w:p>
    <w:p w14:paraId="2F857FA6" w14:textId="77777777" w:rsidR="00300A40" w:rsidRDefault="00271D80" w:rsidP="00300A40">
      <w:pPr>
        <w:pStyle w:val="Paragrafoelenco"/>
        <w:spacing w:before="176"/>
        <w:ind w:left="283" w:right="420" w:firstLine="360"/>
        <w:rPr>
          <w:szCs w:val="24"/>
          <w:lang w:eastAsia="it-IT"/>
        </w:rPr>
      </w:pPr>
      <w:r w:rsidRPr="00300A40">
        <w:rPr>
          <w:szCs w:val="24"/>
          <w:lang w:eastAsia="it-IT"/>
        </w:rPr>
        <w:t>Towards them, Russian actors expressed emotions such as empathy and compassion, articulated through statements like “we sincerely empathize with the Armenian people” (мы искренне сопереживаем армянскому народу/My iskrenne soperezhivaem armyanksomu narodu) or the assertion that the events of 1915 “shook the entire world” (потрясли весь мир/potrasli ves’ mir) (Putin 2015), and, “in Russia they “were perceived as own sorrow” (в России были восприняты как собственное горе/v Rossii byli vosprinyaty kak sobstvennoe gore) (Putin 2015). This internalization of grief indicates that the portrayal of Armenia as a victim was rooted in Russia’s ontological security.</w:t>
      </w:r>
    </w:p>
    <w:p w14:paraId="7299095B"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Russian discourse, particularly among semi-official actors, conveyed admiration for the victim, consistently recognizing Armenians’ rich historical legacy and strong morality. Some examples of this dynamic can be found in statements such as “Armenians are the most ancient state” (армяне—самое древнее государство/armiane—samoe drevnee gosudarstvo) (Zhirinovsky 2016) or “every Armenian feels responsible for a glorious history and belonging to a noble people” (каждый армянин чувствует в себе ответственность за великую историю и принадлежность к великому народу/kazhdyy armyanin chuvstvuet v sebe otvetstvennost’ za velikuyu istoriyu i prinadlezhnost' k velikomu narodu) (Solovyev 2013). </w:t>
      </w:r>
    </w:p>
    <w:p w14:paraId="1BA522CB" w14:textId="77777777" w:rsidR="00300A40" w:rsidRDefault="00271D80" w:rsidP="00300A40">
      <w:pPr>
        <w:pStyle w:val="Paragrafoelenco"/>
        <w:spacing w:before="176"/>
        <w:ind w:left="283" w:right="420" w:firstLine="360"/>
        <w:rPr>
          <w:szCs w:val="24"/>
          <w:lang w:eastAsia="it-IT"/>
        </w:rPr>
      </w:pPr>
      <w:r w:rsidRPr="00300A40">
        <w:rPr>
          <w:szCs w:val="24"/>
          <w:lang w:eastAsia="it-IT"/>
        </w:rPr>
        <w:t>Expressions such as “(Armenian) women whose diligence and gentle care are so extraordinary that every man feels like a general in the Armenian army” (трудолюбие и заботливость которых настолько потрясающие, что каждый мужчина чувствует себя генералом в армянской армии/trudolyubie i zabotlivost' kotorykh stol'ko potryasayushchie, chto kazhdyy muzhchina chuvstvuet sebya generalom v armyanskoy armii) and men who, when the moment of truth arrives, “become undefeated warriors” (становятся войнами непобедимыми/stanovatsya voynami nepobedimymi) are also indicative of that (Solovyev 2013). As we know from the theoretical chapter, female honor is rooted in purity and the ability to bear children, while male honor is grounded in the capacity to protect the homeland and women.</w:t>
      </w:r>
    </w:p>
    <w:p w14:paraId="1B5486E3" w14:textId="77777777" w:rsidR="00300A40" w:rsidRDefault="00271D80" w:rsidP="00300A40">
      <w:pPr>
        <w:pStyle w:val="Paragrafoelenco"/>
        <w:spacing w:before="176"/>
        <w:ind w:left="283" w:right="420" w:firstLine="360"/>
        <w:rPr>
          <w:szCs w:val="24"/>
          <w:lang w:eastAsia="it-IT"/>
        </w:rPr>
      </w:pPr>
      <w:r w:rsidRPr="00300A40">
        <w:rPr>
          <w:szCs w:val="24"/>
          <w:lang w:eastAsia="it-IT"/>
        </w:rPr>
        <w:t>Russian actors portrayed their country as the hero-protector; a morally superior entity that has actively defended Armenia, both historically and in the present. Official discourse explicitly hailed the deeds of the Russian Empire, arguing that “it was Russian diplomacy that achieved international condemnation of the violence” (именно российская дипломатия добилась международного осуждения насилия/imenno rossijskaja diplomatia dobilas’ mezhdunarodnogo osuzhdenija nasilija) and “on the initiative of Foreign Minister Sergei Sazonov, [Russia] directly named what happened a crime against humanity and civilization” (по инициативе Министра иностранных дел Сергея Сазонова…прямо назвали произошедшее преступлением против человечности и цивилизации/po initiativie Ministra inostrannykh del Sergeja Sazonova…prjamo nazvali proizoshedshee prestupleniem protiv chelovechnosti i tsivilizatsii). (Putin 2015). Semi-official discourse also participated in the portrayal of Russia as the indispensable guarantor of Armenian security, releasing statements such as we “saved and protected the Armenians” (спасали, защищали армян/spasali, zashchishchali armyan) (Zhirinovsky 2016).</w:t>
      </w:r>
    </w:p>
    <w:p w14:paraId="46ABA352" w14:textId="77777777" w:rsidR="00300A40" w:rsidRDefault="00271D80" w:rsidP="00300A40">
      <w:pPr>
        <w:pStyle w:val="Paragrafoelenco"/>
        <w:spacing w:before="176"/>
        <w:ind w:left="283" w:right="420" w:firstLine="360"/>
        <w:rPr>
          <w:szCs w:val="24"/>
          <w:lang w:eastAsia="it-IT"/>
        </w:rPr>
      </w:pPr>
      <w:r w:rsidRPr="00300A40">
        <w:rPr>
          <w:szCs w:val="24"/>
          <w:lang w:eastAsia="it-IT"/>
        </w:rPr>
        <w:t>Russian actors transcended mere acknowledgment of historical events, choosing to articulate their interpretation of history in the context of contemporary developments. This endeavor was evident in their efforts to commemorate the Armenian genocide, as highlighted by statements such as “in hundreds of Russian cities, over two thousand memorial events will be held” (в сотнях российских городов пройдут более двух тысяч поминальных мероприятий/v sotnjakh rossijskikh gorodov proidut bolee dvukh tysjach pominal’nykh meroprijatij) (Putin) or “Russia’s position has been and remains consistent” (позиция России была и остаётся последовательной/pozitsija Rossii byla i ostajotsja posledovatel’noj) (Putin 2015). The broad scope of this commemorative initiative served to demonstrate the Kremlin's commitment to the Caucasus affairs as a sincere intent and an act of moral integrity.</w:t>
      </w:r>
    </w:p>
    <w:p w14:paraId="48D52063"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Furthermore, by framing their country’s involvement in the Nagorno-Karabakh conflict as a matter of “historical responsibility” (историческая ответственность/istoricheskaya otvetstvennost') (Babayan 2018), Russian actors sought to construct a discourse that would resonate with Armenians and foster a sense of hope among them. Evidence of this intent can be found in statements such as “only the president of Russia can make the final decision” (окончательное решение может принять только президент России/okonchatel’noe reshenie mozhet prinyat’ tol’ko prezident Rossii) and “to return the Armenian lands of Western Armenia to the Armenians and then the Karabakh question will be solved” (вернуть армянские земли Западной Армении армянам и тогда автоматически как-то решится и вопрос с Карабахом/vernut’ armyanskie zemli Zapadnoy Armenii armyanam i togda avtomaticheski kak-to reshitsya i vopros s Karabakhom) (Zhirinovsky 2016). I posit that such claims, which serve both a self-referential purpose and an effort to secure Armenia’s loyalty, can be understood as an attempt to secure deference. </w:t>
      </w:r>
    </w:p>
    <w:p w14:paraId="57008FE2"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 role of the aggressor, specifically the Ottoman Empire in the past and Azerbaijan and Turkey in contemporary times, was addressed differently in official and semi-official discourse. Although officially denouncing its conduct as unacceptable and inhumane, labeling it a "crime against civilization" (преступление против цивилизации/prestuplenie protiv tsivilisatsii), Russian official discourse did not explicitly identify the aggressors. Here I believe the Kremlin's silence may be interpreted in two distinct ways. The first is that Moscow recognized the Armenian genocide but sought to avoid exacerbating relations with two significant regional powers, Baku and Ankara, which could have compromised its position as a peacemaker in the conflict. The second may serve as a means to obtain additional deference from Armenia. For the latter, the loyalty and respect towards the hero-protector narrative becomes an essential instrument to secure Russia’s acknowledgment of its security threats. Instead, semi-official entities explicitly identified Azerbaijan and Turkey as aggressors, dehumanizing their actions and identity. For example, some actors described them as “nomads who should return to Central Asia under Tashkent” (кочевники, которые должны вернуться в Среднюю Азию/kochevniki, kotorye dolzhny vernut’sya v Srednyuyu Aziyu) (Zhirinovsky 2016). </w:t>
      </w:r>
    </w:p>
    <w:p w14:paraId="6839ED94"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At this critical juncture, discussions about the role of the coward were rare, encompassing both past events and the Nagorno-Karabakh conflict. This dynamic can be partially elucidated by the fact that, despite intermittent tensions in Russian-Armenian relations, the politics of deference persisted without encountering acts of (mis)recognition from Armenia. Notable among these were an episode occurring in January 2015, when a soldier from the deployed Russian 102nd military base murdered an entire Armenian family in their sleep, and Russia’s sale of weapons to Azerbaijan, including the S-300 PMU-2 Favorit anti-aircraft missile systems (Eurasianet 2016).  </w:t>
      </w:r>
    </w:p>
    <w:p w14:paraId="27051685"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In the first instance, the Armenian population responded to the tragedy with far greater immediacy than either Armenian or Russian officials. On the day of the family’s funeral, enraged crowds gathered outside the Russian consulate in Gyumri, demanding the soldier’s extradition to Armenian authorities (Reuters 2015). However, as De Waal (2015) observed, the protesters’ anger was directed not only at Russia but also at President Serzh Sargsyan and the leader of the Armenian Apostolic Church, Karekin II, whom they accused of silence regarding the incident.  </w:t>
      </w:r>
    </w:p>
    <w:p w14:paraId="5FA99572"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Russian officials strongly condemned the murders. However, they also expressed resentment towards the protests, suggesting that there were ongoing “attempts to politicize this situation...to gain some geopolitical advantages” (попытки политизации этой ситуации...чтобы получить геополитические преимущества/My vidim popytki politizatsii etoy situatsii... chtoby poluchit' geopoliticheskie preimushchestva) (Lavrov 2015). The Russian Ministry of Foreign Affairs portrayed the protests in a manner that could be interpreted as emblematic of the coward role, describing an actor whose actions are "disgusting" (отвратительно/otvratitel'no), "unacceptable" (недопустимо/nedopustimo), and "unworthy of the proud Armenian people" (недостойно гордого армянского народа/nedostoyno gordogo armyanskogo naroda) (Lavrov 2015).  </w:t>
      </w:r>
    </w:p>
    <w:p w14:paraId="2DE4BEAB"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Nevertheless, this actor's identity was not made clear. Lavrov might have been referring to specific Armenian political groups that were unhappy with the nation's present foreign policy direction, or he might have been referring to Western political players. Some Russian actors in the semi-official discourse echoed this second tendency, offering their interpretations of Armenia's potential tentative engagement with Western nations based on historical events. For example, reflecting on other international mediation efforts during the events of 1915, Zhirinovsky affirmed that “the French will not resolve anything; the Americans do not even comprehend where this is” (французы ничего не решат, американцы, им вообще непонятно где это/frantsuzy nichego ne reshat, amerikantsy, im voobshche ne ponyatno gde eto) (Zhirinovsky 2016). </w:t>
      </w:r>
    </w:p>
    <w:p w14:paraId="66B72AE3"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Nevertheless, Russian officials affirmed that the protests did not “come from the leadership of Armenia, nor from the leadership of Russia” (Они исходят не от руководства Армении, не от руководства России/Oni iskhodyat ne ot rukovodstva Armenii, ne ot rukovodstva Rossii) (Lavrov 2015). Moreover, following this incident, there was no further discussion about the possible closure of the Russian military base in Gyumri. In a March 2016 interview with Radio Svoboda, former President Kocharyan declared, “I believe that the presence of the Russian military base provides, if not actual stability, then at least a sense of stability” (Radio Free Europe 2016). </w:t>
      </w:r>
    </w:p>
    <w:p w14:paraId="23DFA66D"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Therefore, it can be argued that official Russian discourse did not adequately address the role of the coward within the hero-protector narrative, as Armenian politicians and political elites firmly acknowledged the Kremlin's role as an indispensable security guarantor during this critical juncture. In April 2016, during a state visit to Germany, Armenian President Sargsyan remarked, “It is inherently painful for us when Russia, along with other CSTO member states, supplies arms to Azerbaijan” (Eurasianet 2016). Nonetheless, he also articulated robust support for Russia's position on the Syrian conflict in a meeting with Putin, as well as its engagement in the Nagorno-Karabakh conflict, hailing his country's dedication to resolving the issue through peaceful means (TASS 2016). In fact, in August of the same month, he reiterated, “I have again thanked the President of Russia for Russia’s efforts [...], and for his significant personal contribution to the peace process.” (President of Russia 2016).  </w:t>
      </w:r>
    </w:p>
    <w:p w14:paraId="4A902F96"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 hero-protector narrative continued under this tone in both official and semi-official discourse until 2018, following Pashinyan’s rise to power amid street protests. As we already know, prior to taking office, Pashinyan had advocated for Armenia’s withdrawal from the EAEU and the CSTO. Nonetheless, in Russia’s official discourse, there was no genuine concern about this.  </w:t>
      </w:r>
    </w:p>
    <w:p w14:paraId="47A0168F"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While Moscow publicly maintained a neutral stance regarding the 2018 Velvet Revolution, with Putin extending congratulations to Pashinyan upon his appointment (Terzyan 2023), semi-official discourse responded with anxiety and apprehension. These actors increasingly associated the new political situation in Armenia with that of Ukraine, asserting that Pashinyan was a "carbon copy" of Ukrainian President Petro Poroshenko (под копирку/pod kopirku) (Lenta 2018) or “how is it that we lived in one country for 70 years, spoke the same language, had friends and relatives all around us, and then suddenly some Americans appear and yank one country after another out of Russia's historical sphere of responsibility? (мы 70 лет жили в одной стране, говорили на одном языке, кругом у нас друзья и родственники, и потом вдруг появляются какие-то американцы и выдергивают одну страну за другой из зоны исторической ответственности России/my 70 let zhili v odnoi strane, govorili na odnom yazyke, krugom u nas druz'ya i rodstvenniki, i potom vdrug poyavlyayutsya kakie-to amerikantsy i vydyergivayut odnu stranu za drugoi iz zony istoricheskoi otvetstvennosti Rossii) (Babayan 2018).  </w:t>
      </w:r>
    </w:p>
    <w:p w14:paraId="77DB8024" w14:textId="77777777" w:rsidR="00300A40" w:rsidRDefault="00271D80" w:rsidP="00300A40">
      <w:pPr>
        <w:pStyle w:val="Paragrafoelenco"/>
        <w:spacing w:before="176"/>
        <w:ind w:left="283" w:right="420" w:firstLine="360"/>
        <w:rPr>
          <w:szCs w:val="24"/>
          <w:lang w:eastAsia="it-IT"/>
        </w:rPr>
      </w:pPr>
      <w:r w:rsidRPr="00300A40">
        <w:rPr>
          <w:szCs w:val="24"/>
          <w:lang w:eastAsia="it-IT"/>
        </w:rPr>
        <w:t>During the Velvet Revolution, the Russian narrative for the first time depicted the Armenian government as unworthy of Russia's support and not representative of the Armenian people. Pashinyan himself demonstrated the significance of these voices. In September 2018, during his visit to Moscow to meet with Putin, Pashinyan argued that “despite certain pessimism evident in both the Armenian and Russian media and in social networks, it is my belief that our relations are developing dynamically...I am sure that these issues will be resolved on the basis of our allied relations, which are anchored in mutual respect for our countries’ interests and sovereignty, and the principle of non-interference" (Prime Minister of Armenia 2018).</w:t>
      </w:r>
    </w:p>
    <w:p w14:paraId="1CF8B202"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Pashinyan's words indicate the equal importance of both official and semi-official discourse in the analysis of Russian discourse. These two layers, albeit not always overtly, interact with each other. Both types must be considered to comprehensively understand Russian discourse. Russian official rhetoric did not overtly contest Pashinyan. Nonetheless, he continued to sense pressure from the semi-official Russian narrative. </w:t>
      </w:r>
    </w:p>
    <w:p w14:paraId="343C584D" w14:textId="6DCDB960" w:rsidR="00300A40" w:rsidRDefault="00532DD4" w:rsidP="00AC5A4C">
      <w:pPr>
        <w:pStyle w:val="Titolo2"/>
        <w:ind w:firstLine="283"/>
        <w:rPr>
          <w:lang w:eastAsia="it-IT"/>
        </w:rPr>
      </w:pPr>
      <w:bookmarkStart w:id="77" w:name="_Toc215742687"/>
      <w:r>
        <w:t xml:space="preserve">6.2. Second </w:t>
      </w:r>
      <w:r w:rsidR="00031E6D">
        <w:t>P</w:t>
      </w:r>
      <w:r>
        <w:t>eriod (2020-2022)</w:t>
      </w:r>
      <w:bookmarkEnd w:id="77"/>
      <w:r>
        <w:t xml:space="preserve"> </w:t>
      </w:r>
    </w:p>
    <w:p w14:paraId="07536026"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As previously mentioned, this critical juncture coincided with significant events within the Nagorno-Karabakh conflict, including the July 2020 border clashes in the Tavush/Tovuz region between Armenia and Azerbaijan, as well as the 44-day war that took place from September to November of the same year. Russia played a crucial role by brokering the ceasefire agreement, which ultimately led to the deployment of Russian peacekeepers in the region. </w:t>
      </w:r>
    </w:p>
    <w:p w14:paraId="0FEEDC51"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During this critical juncture, Russian actors, in both formal and semi-formal discourse, vigorously promoted the hero-protector narrative. This was apparent not only in the manner they delineated the roles but also in the sequences. On the one hand, they engaged in the portrayal of a horrific scenario that enabled them to depict Russia as the hero-protector. Expressions such as “the most important achievement was stopping the bloodshed” (самым важным достижением стало прекращение кровопролития/samym vazhnym dostizheniem stalo prekrashchenie krovoprolitiya) (Putin 2020), “this is a tragedy that has befallen real people, real families” (это не кино. </w:t>
      </w:r>
      <w:r w:rsidRPr="00300A40">
        <w:rPr>
          <w:szCs w:val="24"/>
          <w:lang w:val="ru-RU" w:eastAsia="it-IT"/>
        </w:rPr>
        <w:t>Это трагедия, которая постигла реальных людей, реальные семьи”/</w:t>
      </w:r>
      <w:r w:rsidRPr="00300A40">
        <w:rPr>
          <w:szCs w:val="24"/>
          <w:lang w:eastAsia="it-IT"/>
        </w:rPr>
        <w:t>eto</w:t>
      </w:r>
      <w:r w:rsidRPr="00300A40">
        <w:rPr>
          <w:szCs w:val="24"/>
          <w:lang w:val="ru-RU" w:eastAsia="it-IT"/>
        </w:rPr>
        <w:t xml:space="preserve"> </w:t>
      </w:r>
      <w:r w:rsidRPr="00300A40">
        <w:rPr>
          <w:szCs w:val="24"/>
          <w:lang w:eastAsia="it-IT"/>
        </w:rPr>
        <w:t>ne</w:t>
      </w:r>
      <w:r w:rsidRPr="00300A40">
        <w:rPr>
          <w:szCs w:val="24"/>
          <w:lang w:val="ru-RU" w:eastAsia="it-IT"/>
        </w:rPr>
        <w:t xml:space="preserve"> </w:t>
      </w:r>
      <w:r w:rsidRPr="00300A40">
        <w:rPr>
          <w:szCs w:val="24"/>
          <w:lang w:eastAsia="it-IT"/>
        </w:rPr>
        <w:t>kino</w:t>
      </w:r>
      <w:r w:rsidRPr="00300A40">
        <w:rPr>
          <w:szCs w:val="24"/>
          <w:lang w:val="ru-RU" w:eastAsia="it-IT"/>
        </w:rPr>
        <w:t xml:space="preserve">. </w:t>
      </w:r>
      <w:r w:rsidRPr="00300A40">
        <w:rPr>
          <w:szCs w:val="24"/>
          <w:lang w:eastAsia="it-IT"/>
        </w:rPr>
        <w:t xml:space="preserve">Eto tragediya, kotoraya postigla real'nykh lyudey, real'nye semi”) (Putin 2020), and “the entire rest of Artsakh would have been cleared out. There would have been more victims, and even more refugees” (был бы зачищен и весь остальной Арцах. Только жертв было бы ещё больше. И ещё больше — беженцев/byl by zachishchen i ves’ ostal’noy Artsakh. Tol’ko zhertv bylo by eshe bol’she. I eshche bol’she — bezhentsev) (Kots 2020) were frequently employed. </w:t>
      </w:r>
    </w:p>
    <w:p w14:paraId="1F8F6001" w14:textId="77777777" w:rsidR="00300A40" w:rsidRDefault="00271D80" w:rsidP="00300A40">
      <w:pPr>
        <w:pStyle w:val="Paragrafoelenco"/>
        <w:spacing w:before="176"/>
        <w:ind w:left="283" w:right="420" w:firstLine="360"/>
        <w:rPr>
          <w:szCs w:val="24"/>
          <w:lang w:val="ru-RU" w:eastAsia="it-IT"/>
        </w:rPr>
      </w:pPr>
      <w:r w:rsidRPr="00300A40">
        <w:rPr>
          <w:szCs w:val="24"/>
          <w:lang w:eastAsia="it-IT"/>
        </w:rPr>
        <w:t>On the other hand, Russian actors once again relied on analogies with the past in order to sustain their narrative. References to the “Sumgait pogroms of 1988” and “the bitter legacy of the past, the tragic and bloody events… the genocide” (</w:t>
      </w:r>
      <w:r w:rsidRPr="00300A40">
        <w:rPr>
          <w:szCs w:val="24"/>
          <w:lang w:val="ru-RU" w:eastAsia="it-IT"/>
        </w:rPr>
        <w:t>очень</w:t>
      </w:r>
      <w:r w:rsidRPr="00300A40">
        <w:rPr>
          <w:szCs w:val="24"/>
          <w:lang w:eastAsia="it-IT"/>
        </w:rPr>
        <w:t xml:space="preserve"> </w:t>
      </w:r>
      <w:r w:rsidRPr="00300A40">
        <w:rPr>
          <w:szCs w:val="24"/>
          <w:lang w:val="ru-RU" w:eastAsia="it-IT"/>
        </w:rPr>
        <w:t>тяжёлое</w:t>
      </w:r>
      <w:r w:rsidRPr="00300A40">
        <w:rPr>
          <w:szCs w:val="24"/>
          <w:lang w:eastAsia="it-IT"/>
        </w:rPr>
        <w:t xml:space="preserve"> </w:t>
      </w:r>
      <w:r w:rsidRPr="00300A40">
        <w:rPr>
          <w:szCs w:val="24"/>
          <w:lang w:val="ru-RU" w:eastAsia="it-IT"/>
        </w:rPr>
        <w:t>наследие</w:t>
      </w:r>
      <w:r w:rsidRPr="00300A40">
        <w:rPr>
          <w:szCs w:val="24"/>
          <w:lang w:eastAsia="it-IT"/>
        </w:rPr>
        <w:t xml:space="preserve"> </w:t>
      </w:r>
      <w:r w:rsidRPr="00300A40">
        <w:rPr>
          <w:szCs w:val="24"/>
          <w:lang w:val="ru-RU" w:eastAsia="it-IT"/>
        </w:rPr>
        <w:t>прошлого</w:t>
      </w:r>
      <w:r w:rsidRPr="00300A40">
        <w:rPr>
          <w:szCs w:val="24"/>
          <w:lang w:eastAsia="it-IT"/>
        </w:rPr>
        <w:t xml:space="preserve">… </w:t>
      </w:r>
      <w:r w:rsidRPr="00300A40">
        <w:rPr>
          <w:szCs w:val="24"/>
          <w:lang w:val="ru-RU" w:eastAsia="it-IT"/>
        </w:rPr>
        <w:t>трагические</w:t>
      </w:r>
      <w:r w:rsidRPr="00300A40">
        <w:rPr>
          <w:szCs w:val="24"/>
          <w:lang w:eastAsia="it-IT"/>
        </w:rPr>
        <w:t xml:space="preserve"> </w:t>
      </w:r>
      <w:r w:rsidRPr="00300A40">
        <w:rPr>
          <w:szCs w:val="24"/>
          <w:lang w:val="ru-RU" w:eastAsia="it-IT"/>
        </w:rPr>
        <w:t>и</w:t>
      </w:r>
      <w:r w:rsidRPr="00300A40">
        <w:rPr>
          <w:szCs w:val="24"/>
          <w:lang w:eastAsia="it-IT"/>
        </w:rPr>
        <w:t xml:space="preserve"> </w:t>
      </w:r>
      <w:r w:rsidRPr="00300A40">
        <w:rPr>
          <w:szCs w:val="24"/>
          <w:lang w:val="ru-RU" w:eastAsia="it-IT"/>
        </w:rPr>
        <w:t>кровавые</w:t>
      </w:r>
      <w:r w:rsidRPr="00300A40">
        <w:rPr>
          <w:szCs w:val="24"/>
          <w:lang w:eastAsia="it-IT"/>
        </w:rPr>
        <w:t xml:space="preserve"> </w:t>
      </w:r>
      <w:r w:rsidRPr="00300A40">
        <w:rPr>
          <w:szCs w:val="24"/>
          <w:lang w:val="ru-RU" w:eastAsia="it-IT"/>
        </w:rPr>
        <w:t>события</w:t>
      </w:r>
      <w:r w:rsidRPr="00300A40">
        <w:rPr>
          <w:szCs w:val="24"/>
          <w:lang w:eastAsia="it-IT"/>
        </w:rPr>
        <w:t xml:space="preserve">… геноцид/ochen' tyazholoye naslediye proshlogo… tragicheskie i krovavye sobytiya… genotsid) (Putin 2020) served to provide Armenia’s suffering with historical continuity and to promote Russia as a hero-protector. Not by chance, Russian officials reaffirmed their country's role in stopping the hostilities as a natural consequence of the fact that that “Russia and Armenians have centuries-old relations that go back to a distant past. Our relations are based on cultural and religious affinity, and there are many things in history that bind us together. This is even more important than relations between individuals. We remember this, we will never forget this, and this is what lies at the core of our interaction with Armenia” (Россию и армян связывают многовековые отношения, уходящие корнями далеко далеко в прошлое. </w:t>
      </w:r>
      <w:r w:rsidRPr="00300A40">
        <w:rPr>
          <w:szCs w:val="24"/>
          <w:lang w:val="ru-RU" w:eastAsia="it-IT"/>
        </w:rPr>
        <w:t>В основе наших отношений культурная, религиозная близость, многое исторически нас связывает. И это важнее даже чем отношения между конкретными людьми. Мы помним об этом, никогда не забываем и это лежит в основе нашего взаимодействия с Арменией/</w:t>
      </w:r>
      <w:r w:rsidRPr="00300A40">
        <w:rPr>
          <w:szCs w:val="24"/>
          <w:lang w:eastAsia="it-IT"/>
        </w:rPr>
        <w:t>Rossiyu</w:t>
      </w:r>
      <w:r w:rsidRPr="00300A40">
        <w:rPr>
          <w:szCs w:val="24"/>
          <w:lang w:val="ru-RU" w:eastAsia="it-IT"/>
        </w:rPr>
        <w:t xml:space="preserve"> </w:t>
      </w:r>
      <w:r w:rsidRPr="00300A40">
        <w:rPr>
          <w:szCs w:val="24"/>
          <w:lang w:eastAsia="it-IT"/>
        </w:rPr>
        <w:t>i</w:t>
      </w:r>
      <w:r w:rsidRPr="00300A40">
        <w:rPr>
          <w:szCs w:val="24"/>
          <w:lang w:val="ru-RU" w:eastAsia="it-IT"/>
        </w:rPr>
        <w:t xml:space="preserve"> </w:t>
      </w:r>
      <w:r w:rsidRPr="00300A40">
        <w:rPr>
          <w:szCs w:val="24"/>
          <w:lang w:eastAsia="it-IT"/>
        </w:rPr>
        <w:t>armyan</w:t>
      </w:r>
      <w:r w:rsidRPr="00300A40">
        <w:rPr>
          <w:szCs w:val="24"/>
          <w:lang w:val="ru-RU" w:eastAsia="it-IT"/>
        </w:rPr>
        <w:t xml:space="preserve"> </w:t>
      </w:r>
      <w:r w:rsidRPr="00300A40">
        <w:rPr>
          <w:szCs w:val="24"/>
          <w:lang w:eastAsia="it-IT"/>
        </w:rPr>
        <w:t>svyazyvayut</w:t>
      </w:r>
      <w:r w:rsidRPr="00300A40">
        <w:rPr>
          <w:szCs w:val="24"/>
          <w:lang w:val="ru-RU" w:eastAsia="it-IT"/>
        </w:rPr>
        <w:t xml:space="preserve"> </w:t>
      </w:r>
      <w:r w:rsidRPr="00300A40">
        <w:rPr>
          <w:szCs w:val="24"/>
          <w:lang w:eastAsia="it-IT"/>
        </w:rPr>
        <w:t>mnogovekovye</w:t>
      </w:r>
      <w:r w:rsidRPr="00300A40">
        <w:rPr>
          <w:szCs w:val="24"/>
          <w:lang w:val="ru-RU" w:eastAsia="it-IT"/>
        </w:rPr>
        <w:t xml:space="preserve"> </w:t>
      </w:r>
      <w:r w:rsidRPr="00300A40">
        <w:rPr>
          <w:szCs w:val="24"/>
          <w:lang w:eastAsia="it-IT"/>
        </w:rPr>
        <w:t>otnosheniya</w:t>
      </w:r>
      <w:r w:rsidRPr="00300A40">
        <w:rPr>
          <w:szCs w:val="24"/>
          <w:lang w:val="ru-RU" w:eastAsia="it-IT"/>
        </w:rPr>
        <w:t xml:space="preserve">, </w:t>
      </w:r>
      <w:r w:rsidRPr="00300A40">
        <w:rPr>
          <w:szCs w:val="24"/>
          <w:lang w:eastAsia="it-IT"/>
        </w:rPr>
        <w:t>ukhodyashchiye</w:t>
      </w:r>
      <w:r w:rsidRPr="00300A40">
        <w:rPr>
          <w:szCs w:val="24"/>
          <w:lang w:val="ru-RU" w:eastAsia="it-IT"/>
        </w:rPr>
        <w:t xml:space="preserve"> </w:t>
      </w:r>
      <w:r w:rsidRPr="00300A40">
        <w:rPr>
          <w:szCs w:val="24"/>
          <w:lang w:eastAsia="it-IT"/>
        </w:rPr>
        <w:t>kornyami</w:t>
      </w:r>
      <w:r w:rsidRPr="00300A40">
        <w:rPr>
          <w:szCs w:val="24"/>
          <w:lang w:val="ru-RU" w:eastAsia="it-IT"/>
        </w:rPr>
        <w:t xml:space="preserve"> </w:t>
      </w:r>
      <w:r w:rsidRPr="00300A40">
        <w:rPr>
          <w:szCs w:val="24"/>
          <w:lang w:eastAsia="it-IT"/>
        </w:rPr>
        <w:t>daleko</w:t>
      </w:r>
      <w:r w:rsidRPr="00300A40">
        <w:rPr>
          <w:szCs w:val="24"/>
          <w:lang w:val="ru-RU" w:eastAsia="it-IT"/>
        </w:rPr>
        <w:t xml:space="preserve"> </w:t>
      </w:r>
      <w:r w:rsidRPr="00300A40">
        <w:rPr>
          <w:szCs w:val="24"/>
          <w:lang w:eastAsia="it-IT"/>
        </w:rPr>
        <w:t>daleko</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proshloye</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osnove</w:t>
      </w:r>
      <w:r w:rsidRPr="00300A40">
        <w:rPr>
          <w:szCs w:val="24"/>
          <w:lang w:val="ru-RU" w:eastAsia="it-IT"/>
        </w:rPr>
        <w:t xml:space="preserve"> </w:t>
      </w:r>
      <w:r w:rsidRPr="00300A40">
        <w:rPr>
          <w:szCs w:val="24"/>
          <w:lang w:eastAsia="it-IT"/>
        </w:rPr>
        <w:t>nashikh</w:t>
      </w:r>
      <w:r w:rsidRPr="00300A40">
        <w:rPr>
          <w:szCs w:val="24"/>
          <w:lang w:val="ru-RU" w:eastAsia="it-IT"/>
        </w:rPr>
        <w:t xml:space="preserve"> </w:t>
      </w:r>
      <w:r w:rsidRPr="00300A40">
        <w:rPr>
          <w:szCs w:val="24"/>
          <w:lang w:eastAsia="it-IT"/>
        </w:rPr>
        <w:t>otnosheniy</w:t>
      </w:r>
      <w:r w:rsidRPr="00300A40">
        <w:rPr>
          <w:szCs w:val="24"/>
          <w:lang w:val="ru-RU" w:eastAsia="it-IT"/>
        </w:rPr>
        <w:t xml:space="preserve"> </w:t>
      </w:r>
      <w:r w:rsidRPr="00300A40">
        <w:rPr>
          <w:szCs w:val="24"/>
          <w:lang w:eastAsia="it-IT"/>
        </w:rPr>
        <w:t>kul</w:t>
      </w:r>
      <w:r w:rsidRPr="00300A40">
        <w:rPr>
          <w:szCs w:val="24"/>
          <w:lang w:val="ru-RU" w:eastAsia="it-IT"/>
        </w:rPr>
        <w:t>'</w:t>
      </w:r>
      <w:r w:rsidRPr="00300A40">
        <w:rPr>
          <w:szCs w:val="24"/>
          <w:lang w:eastAsia="it-IT"/>
        </w:rPr>
        <w:t>turnaya</w:t>
      </w:r>
      <w:r w:rsidRPr="00300A40">
        <w:rPr>
          <w:szCs w:val="24"/>
          <w:lang w:val="ru-RU" w:eastAsia="it-IT"/>
        </w:rPr>
        <w:t xml:space="preserve">, </w:t>
      </w:r>
      <w:r w:rsidRPr="00300A40">
        <w:rPr>
          <w:szCs w:val="24"/>
          <w:lang w:eastAsia="it-IT"/>
        </w:rPr>
        <w:t>religioznaya</w:t>
      </w:r>
      <w:r w:rsidRPr="00300A40">
        <w:rPr>
          <w:szCs w:val="24"/>
          <w:lang w:val="ru-RU" w:eastAsia="it-IT"/>
        </w:rPr>
        <w:t xml:space="preserve"> </w:t>
      </w:r>
      <w:r w:rsidRPr="00300A40">
        <w:rPr>
          <w:szCs w:val="24"/>
          <w:lang w:eastAsia="it-IT"/>
        </w:rPr>
        <w:t>blizost</w:t>
      </w:r>
      <w:r w:rsidRPr="00300A40">
        <w:rPr>
          <w:szCs w:val="24"/>
          <w:lang w:val="ru-RU" w:eastAsia="it-IT"/>
        </w:rPr>
        <w:t xml:space="preserve">', </w:t>
      </w:r>
      <w:r w:rsidRPr="00300A40">
        <w:rPr>
          <w:szCs w:val="24"/>
          <w:lang w:eastAsia="it-IT"/>
        </w:rPr>
        <w:t>mnogoye</w:t>
      </w:r>
      <w:r w:rsidRPr="00300A40">
        <w:rPr>
          <w:szCs w:val="24"/>
          <w:lang w:val="ru-RU" w:eastAsia="it-IT"/>
        </w:rPr>
        <w:t xml:space="preserve"> </w:t>
      </w:r>
      <w:r w:rsidRPr="00300A40">
        <w:rPr>
          <w:szCs w:val="24"/>
          <w:lang w:eastAsia="it-IT"/>
        </w:rPr>
        <w:t>istoricheski</w:t>
      </w:r>
      <w:r w:rsidRPr="00300A40">
        <w:rPr>
          <w:szCs w:val="24"/>
          <w:lang w:val="ru-RU" w:eastAsia="it-IT"/>
        </w:rPr>
        <w:t xml:space="preserve"> </w:t>
      </w:r>
      <w:r w:rsidRPr="00300A40">
        <w:rPr>
          <w:szCs w:val="24"/>
          <w:lang w:eastAsia="it-IT"/>
        </w:rPr>
        <w:t>nas</w:t>
      </w:r>
      <w:r w:rsidRPr="00300A40">
        <w:rPr>
          <w:szCs w:val="24"/>
          <w:lang w:val="ru-RU" w:eastAsia="it-IT"/>
        </w:rPr>
        <w:t xml:space="preserve"> </w:t>
      </w:r>
      <w:r w:rsidRPr="00300A40">
        <w:rPr>
          <w:szCs w:val="24"/>
          <w:lang w:eastAsia="it-IT"/>
        </w:rPr>
        <w:t>svyazyvayet</w:t>
      </w:r>
      <w:r w:rsidRPr="00300A40">
        <w:rPr>
          <w:szCs w:val="24"/>
          <w:lang w:val="ru-RU" w:eastAsia="it-IT"/>
        </w:rPr>
        <w:t xml:space="preserve">. </w:t>
      </w:r>
      <w:r w:rsidRPr="00300A40">
        <w:rPr>
          <w:szCs w:val="24"/>
          <w:lang w:eastAsia="it-IT"/>
        </w:rPr>
        <w:t>I</w:t>
      </w:r>
      <w:r w:rsidRPr="00300A40">
        <w:rPr>
          <w:szCs w:val="24"/>
          <w:lang w:val="ru-RU" w:eastAsia="it-IT"/>
        </w:rPr>
        <w:t xml:space="preserve"> </w:t>
      </w:r>
      <w:r w:rsidRPr="00300A40">
        <w:rPr>
          <w:szCs w:val="24"/>
          <w:lang w:eastAsia="it-IT"/>
        </w:rPr>
        <w:t>eto</w:t>
      </w:r>
      <w:r w:rsidRPr="00300A40">
        <w:rPr>
          <w:szCs w:val="24"/>
          <w:lang w:val="ru-RU" w:eastAsia="it-IT"/>
        </w:rPr>
        <w:t xml:space="preserve"> </w:t>
      </w:r>
      <w:r w:rsidRPr="00300A40">
        <w:rPr>
          <w:szCs w:val="24"/>
          <w:lang w:eastAsia="it-IT"/>
        </w:rPr>
        <w:t>vazhnee</w:t>
      </w:r>
      <w:r w:rsidRPr="00300A40">
        <w:rPr>
          <w:szCs w:val="24"/>
          <w:lang w:val="ru-RU" w:eastAsia="it-IT"/>
        </w:rPr>
        <w:t xml:space="preserve"> </w:t>
      </w:r>
      <w:r w:rsidRPr="00300A40">
        <w:rPr>
          <w:szCs w:val="24"/>
          <w:lang w:eastAsia="it-IT"/>
        </w:rPr>
        <w:t>dazhe</w:t>
      </w:r>
      <w:r w:rsidRPr="00300A40">
        <w:rPr>
          <w:szCs w:val="24"/>
          <w:lang w:val="ru-RU" w:eastAsia="it-IT"/>
        </w:rPr>
        <w:t xml:space="preserve"> </w:t>
      </w:r>
      <w:r w:rsidRPr="00300A40">
        <w:rPr>
          <w:szCs w:val="24"/>
          <w:lang w:eastAsia="it-IT"/>
        </w:rPr>
        <w:t>chem</w:t>
      </w:r>
      <w:r w:rsidRPr="00300A40">
        <w:rPr>
          <w:szCs w:val="24"/>
          <w:lang w:val="ru-RU" w:eastAsia="it-IT"/>
        </w:rPr>
        <w:t xml:space="preserve"> </w:t>
      </w:r>
      <w:r w:rsidRPr="00300A40">
        <w:rPr>
          <w:szCs w:val="24"/>
          <w:lang w:eastAsia="it-IT"/>
        </w:rPr>
        <w:t>otnosheniya</w:t>
      </w:r>
      <w:r w:rsidRPr="00300A40">
        <w:rPr>
          <w:szCs w:val="24"/>
          <w:lang w:val="ru-RU" w:eastAsia="it-IT"/>
        </w:rPr>
        <w:t xml:space="preserve"> </w:t>
      </w:r>
      <w:r w:rsidRPr="00300A40">
        <w:rPr>
          <w:szCs w:val="24"/>
          <w:lang w:eastAsia="it-IT"/>
        </w:rPr>
        <w:t>mezhdu</w:t>
      </w:r>
      <w:r w:rsidRPr="00300A40">
        <w:rPr>
          <w:szCs w:val="24"/>
          <w:lang w:val="ru-RU" w:eastAsia="it-IT"/>
        </w:rPr>
        <w:t xml:space="preserve"> </w:t>
      </w:r>
      <w:r w:rsidRPr="00300A40">
        <w:rPr>
          <w:szCs w:val="24"/>
          <w:lang w:eastAsia="it-IT"/>
        </w:rPr>
        <w:t>konkretnymi</w:t>
      </w:r>
      <w:r w:rsidRPr="00300A40">
        <w:rPr>
          <w:szCs w:val="24"/>
          <w:lang w:val="ru-RU" w:eastAsia="it-IT"/>
        </w:rPr>
        <w:t xml:space="preserve"> </w:t>
      </w:r>
      <w:r w:rsidRPr="00300A40">
        <w:rPr>
          <w:szCs w:val="24"/>
          <w:lang w:eastAsia="it-IT"/>
        </w:rPr>
        <w:t>lyud</w:t>
      </w:r>
      <w:r w:rsidRPr="00300A40">
        <w:rPr>
          <w:szCs w:val="24"/>
          <w:lang w:val="ru-RU" w:eastAsia="it-IT"/>
        </w:rPr>
        <w:t>'</w:t>
      </w:r>
      <w:r w:rsidRPr="00300A40">
        <w:rPr>
          <w:szCs w:val="24"/>
          <w:lang w:eastAsia="it-IT"/>
        </w:rPr>
        <w:t>mi</w:t>
      </w:r>
      <w:r w:rsidRPr="00300A40">
        <w:rPr>
          <w:szCs w:val="24"/>
          <w:lang w:val="ru-RU" w:eastAsia="it-IT"/>
        </w:rPr>
        <w:t xml:space="preserve">. </w:t>
      </w:r>
      <w:r w:rsidRPr="00300A40">
        <w:rPr>
          <w:szCs w:val="24"/>
          <w:lang w:eastAsia="it-IT"/>
        </w:rPr>
        <w:t>My</w:t>
      </w:r>
      <w:r w:rsidRPr="00300A40">
        <w:rPr>
          <w:szCs w:val="24"/>
          <w:lang w:val="ru-RU" w:eastAsia="it-IT"/>
        </w:rPr>
        <w:t xml:space="preserve"> </w:t>
      </w:r>
      <w:r w:rsidRPr="00300A40">
        <w:rPr>
          <w:szCs w:val="24"/>
          <w:lang w:eastAsia="it-IT"/>
        </w:rPr>
        <w:t>pomnim</w:t>
      </w:r>
      <w:r w:rsidRPr="00300A40">
        <w:rPr>
          <w:szCs w:val="24"/>
          <w:lang w:val="ru-RU" w:eastAsia="it-IT"/>
        </w:rPr>
        <w:t xml:space="preserve"> </w:t>
      </w:r>
      <w:r w:rsidRPr="00300A40">
        <w:rPr>
          <w:szCs w:val="24"/>
          <w:lang w:eastAsia="it-IT"/>
        </w:rPr>
        <w:t>ob</w:t>
      </w:r>
      <w:r w:rsidRPr="00300A40">
        <w:rPr>
          <w:szCs w:val="24"/>
          <w:lang w:val="ru-RU" w:eastAsia="it-IT"/>
        </w:rPr>
        <w:t xml:space="preserve"> </w:t>
      </w:r>
      <w:r w:rsidRPr="00300A40">
        <w:rPr>
          <w:szCs w:val="24"/>
          <w:lang w:eastAsia="it-IT"/>
        </w:rPr>
        <w:t>etom</w:t>
      </w:r>
      <w:r w:rsidRPr="00300A40">
        <w:rPr>
          <w:szCs w:val="24"/>
          <w:lang w:val="ru-RU" w:eastAsia="it-IT"/>
        </w:rPr>
        <w:t xml:space="preserve">, </w:t>
      </w:r>
      <w:r w:rsidRPr="00300A40">
        <w:rPr>
          <w:szCs w:val="24"/>
          <w:lang w:eastAsia="it-IT"/>
        </w:rPr>
        <w:t>nikogda</w:t>
      </w:r>
      <w:r w:rsidRPr="00300A40">
        <w:rPr>
          <w:szCs w:val="24"/>
          <w:lang w:val="ru-RU" w:eastAsia="it-IT"/>
        </w:rPr>
        <w:t xml:space="preserve"> </w:t>
      </w:r>
      <w:r w:rsidRPr="00300A40">
        <w:rPr>
          <w:szCs w:val="24"/>
          <w:lang w:eastAsia="it-IT"/>
        </w:rPr>
        <w:t>ne</w:t>
      </w:r>
      <w:r w:rsidRPr="00300A40">
        <w:rPr>
          <w:szCs w:val="24"/>
          <w:lang w:val="ru-RU" w:eastAsia="it-IT"/>
        </w:rPr>
        <w:t xml:space="preserve"> </w:t>
      </w:r>
      <w:r w:rsidRPr="00300A40">
        <w:rPr>
          <w:szCs w:val="24"/>
          <w:lang w:eastAsia="it-IT"/>
        </w:rPr>
        <w:t>zabyvayem</w:t>
      </w:r>
      <w:r w:rsidRPr="00300A40">
        <w:rPr>
          <w:szCs w:val="24"/>
          <w:lang w:val="ru-RU" w:eastAsia="it-IT"/>
        </w:rPr>
        <w:t xml:space="preserve"> </w:t>
      </w:r>
      <w:r w:rsidRPr="00300A40">
        <w:rPr>
          <w:szCs w:val="24"/>
          <w:lang w:eastAsia="it-IT"/>
        </w:rPr>
        <w:t>i</w:t>
      </w:r>
      <w:r w:rsidRPr="00300A40">
        <w:rPr>
          <w:szCs w:val="24"/>
          <w:lang w:val="ru-RU" w:eastAsia="it-IT"/>
        </w:rPr>
        <w:t xml:space="preserve"> </w:t>
      </w:r>
      <w:r w:rsidRPr="00300A40">
        <w:rPr>
          <w:szCs w:val="24"/>
          <w:lang w:eastAsia="it-IT"/>
        </w:rPr>
        <w:t>eto</w:t>
      </w:r>
      <w:r w:rsidRPr="00300A40">
        <w:rPr>
          <w:szCs w:val="24"/>
          <w:lang w:val="ru-RU" w:eastAsia="it-IT"/>
        </w:rPr>
        <w:t xml:space="preserve"> </w:t>
      </w:r>
      <w:r w:rsidRPr="00300A40">
        <w:rPr>
          <w:szCs w:val="24"/>
          <w:lang w:eastAsia="it-IT"/>
        </w:rPr>
        <w:t>lezhit</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osnove</w:t>
      </w:r>
      <w:r w:rsidRPr="00300A40">
        <w:rPr>
          <w:szCs w:val="24"/>
          <w:lang w:val="ru-RU" w:eastAsia="it-IT"/>
        </w:rPr>
        <w:t xml:space="preserve"> </w:t>
      </w:r>
      <w:r w:rsidRPr="00300A40">
        <w:rPr>
          <w:szCs w:val="24"/>
          <w:lang w:eastAsia="it-IT"/>
        </w:rPr>
        <w:t>nashego</w:t>
      </w:r>
      <w:r w:rsidRPr="00300A40">
        <w:rPr>
          <w:szCs w:val="24"/>
          <w:lang w:val="ru-RU" w:eastAsia="it-IT"/>
        </w:rPr>
        <w:t xml:space="preserve"> </w:t>
      </w:r>
      <w:r w:rsidRPr="00300A40">
        <w:rPr>
          <w:szCs w:val="24"/>
          <w:lang w:eastAsia="it-IT"/>
        </w:rPr>
        <w:t>vzaimodeystviya</w:t>
      </w:r>
      <w:r w:rsidRPr="00300A40">
        <w:rPr>
          <w:szCs w:val="24"/>
          <w:lang w:val="ru-RU" w:eastAsia="it-IT"/>
        </w:rPr>
        <w:t xml:space="preserve"> </w:t>
      </w:r>
      <w:r w:rsidRPr="00300A40">
        <w:rPr>
          <w:szCs w:val="24"/>
          <w:lang w:eastAsia="it-IT"/>
        </w:rPr>
        <w:t>s</w:t>
      </w:r>
      <w:r w:rsidRPr="00300A40">
        <w:rPr>
          <w:szCs w:val="24"/>
          <w:lang w:val="ru-RU" w:eastAsia="it-IT"/>
        </w:rPr>
        <w:t xml:space="preserve"> </w:t>
      </w:r>
      <w:r w:rsidRPr="00300A40">
        <w:rPr>
          <w:szCs w:val="24"/>
          <w:lang w:eastAsia="it-IT"/>
        </w:rPr>
        <w:t>Armeniyey</w:t>
      </w:r>
      <w:r w:rsidRPr="00300A40">
        <w:rPr>
          <w:szCs w:val="24"/>
          <w:lang w:val="ru-RU" w:eastAsia="it-IT"/>
        </w:rPr>
        <w:t>) (</w:t>
      </w:r>
      <w:r w:rsidRPr="00300A40">
        <w:rPr>
          <w:szCs w:val="24"/>
          <w:lang w:eastAsia="it-IT"/>
        </w:rPr>
        <w:t>Putin</w:t>
      </w:r>
      <w:r w:rsidRPr="00300A40">
        <w:rPr>
          <w:szCs w:val="24"/>
          <w:lang w:val="ru-RU" w:eastAsia="it-IT"/>
        </w:rPr>
        <w:t xml:space="preserve"> 2020).</w:t>
      </w:r>
    </w:p>
    <w:p w14:paraId="1C8D6708" w14:textId="77777777" w:rsidR="00300A40" w:rsidRDefault="00271D80" w:rsidP="00300A40">
      <w:pPr>
        <w:pStyle w:val="Paragrafoelenco"/>
        <w:spacing w:before="176"/>
        <w:ind w:left="283" w:right="420" w:firstLine="360"/>
        <w:rPr>
          <w:szCs w:val="24"/>
          <w:lang w:eastAsia="it-IT"/>
        </w:rPr>
      </w:pPr>
      <w:r w:rsidRPr="00300A40">
        <w:rPr>
          <w:szCs w:val="24"/>
          <w:lang w:eastAsia="it-IT"/>
        </w:rPr>
        <w:t>The Kremlin’s role in this narrative structure was celebrated through statements regarding Putin's actions, such as the Russian president “saved the remnants of Karabakh” (спас остатки Карабаха/spas ostatki Karabakha) and “stopped the bloody war” (остановил кровопролитную войну/ostanovil krovoprolitnuyu voy-nu) (Kots 2020). Furthermore, the peacekeepers emerged as the archetype of the hero-protector on the battlefield, as illustrated by phrases such as “the real safety of the people...This is the mission of the Russian peacekeepers” (реальную безопасность людей...Это миссия российских миротворцев/real'nuyu bezopasnost' lyudey. Eto missiya rossiyskikh mirotvortsev) (Putin 2020), or “our Russian soldiers are incredible people: just yesterday you were at home with your family, and today you receive orders to go to a mysterious place with a romantic name—Nagorno-Karabakh" (Наши русские военные – удивительные люди: ещё вчера ты был дома с семьёй, а сегодня тебе дают приказ убыть в загадочное место под романтическим названием Нагорный Карабах/Nashi russkie voennye – udivitel’nye lyudi: eshchë vchera ty byl doma s sem’yei, a segodnya tebe dayut prikaz ubyt’ v zagadochnoe mesto pod romanticheskim nazvaniem Nagornyi Karabakh (Zhuravlyov 2020).</w:t>
      </w:r>
    </w:p>
    <w:p w14:paraId="65A3DAA7" w14:textId="77777777" w:rsidR="00300A40" w:rsidRDefault="00300A40" w:rsidP="00300A40">
      <w:pPr>
        <w:pStyle w:val="Paragrafoelenco"/>
        <w:spacing w:before="176"/>
        <w:ind w:left="283" w:right="420" w:firstLine="360"/>
        <w:rPr>
          <w:szCs w:val="24"/>
          <w:lang w:eastAsia="it-IT"/>
        </w:rPr>
      </w:pPr>
      <w:r w:rsidRPr="00300A40">
        <w:rPr>
          <w:szCs w:val="24"/>
          <w:lang w:eastAsia="it-IT"/>
        </w:rPr>
        <w:t>A</w:t>
      </w:r>
      <w:r w:rsidR="00271D80" w:rsidRPr="00300A40">
        <w:rPr>
          <w:szCs w:val="24"/>
          <w:lang w:eastAsia="it-IT"/>
        </w:rPr>
        <w:t xml:space="preserve">t the same time, the celebration of the hero-protector role was employed by Russian actors to solicit deference from Armenia. By contrasting Nagorno-Karabakh with Russia’s prior interventions in South Ossetia, Russian officials declared that “after the criminal, beyond any doubt, actions of the former Georgian leadership, I mean the attacks on our peacekeepers in South Ossetia, Russia recognized the independence of South Ossetia and Abkhazia. Some people may like this, some may not, but we did it in the interests of the people who live there, and we are not ashamed to speak about it openly. In relation to Karabakh, this was not done, and this, of course, had a significant impact on all the events taking place there” (после преступных, без всякого сомнения, действий бывшего грузинского руководства, имею в виду нанесение ударов по нашим миротворцам в Южной Осетии, Россия признала независимость Южной Осетии и Абхазии. </w:t>
      </w:r>
      <w:r w:rsidR="00271D80" w:rsidRPr="00300A40">
        <w:rPr>
          <w:szCs w:val="24"/>
          <w:lang w:val="ru-RU" w:eastAsia="it-IT"/>
        </w:rPr>
        <w:t>Кому-то это может нравиться, кому-то не нравиться, но мы делали это в интересах тех людей, которые там проживают,...и мы не стесняемся об этом прямо говорить. В отношении Карабаха это сделано не было, и это существенным образом, конечно, оказывало влияние на все происходящие там событи/</w:t>
      </w:r>
      <w:r w:rsidR="00271D80" w:rsidRPr="00300A40">
        <w:rPr>
          <w:szCs w:val="24"/>
          <w:lang w:eastAsia="it-IT"/>
        </w:rPr>
        <w:t>posle</w:t>
      </w:r>
      <w:r w:rsidR="00271D80" w:rsidRPr="00300A40">
        <w:rPr>
          <w:szCs w:val="24"/>
          <w:lang w:val="ru-RU" w:eastAsia="it-IT"/>
        </w:rPr>
        <w:t xml:space="preserve"> </w:t>
      </w:r>
      <w:r w:rsidR="00271D80" w:rsidRPr="00300A40">
        <w:rPr>
          <w:szCs w:val="24"/>
          <w:lang w:eastAsia="it-IT"/>
        </w:rPr>
        <w:t>prestupnykh</w:t>
      </w:r>
      <w:r w:rsidR="00271D80" w:rsidRPr="00300A40">
        <w:rPr>
          <w:szCs w:val="24"/>
          <w:lang w:val="ru-RU" w:eastAsia="it-IT"/>
        </w:rPr>
        <w:t xml:space="preserve">, </w:t>
      </w:r>
      <w:r w:rsidR="00271D80" w:rsidRPr="00300A40">
        <w:rPr>
          <w:szCs w:val="24"/>
          <w:lang w:eastAsia="it-IT"/>
        </w:rPr>
        <w:t>bez</w:t>
      </w:r>
      <w:r w:rsidR="00271D80" w:rsidRPr="00300A40">
        <w:rPr>
          <w:szCs w:val="24"/>
          <w:lang w:val="ru-RU" w:eastAsia="it-IT"/>
        </w:rPr>
        <w:t xml:space="preserve"> </w:t>
      </w:r>
      <w:r w:rsidR="00271D80" w:rsidRPr="00300A40">
        <w:rPr>
          <w:szCs w:val="24"/>
          <w:lang w:eastAsia="it-IT"/>
        </w:rPr>
        <w:t>vsyakogo</w:t>
      </w:r>
      <w:r w:rsidR="00271D80" w:rsidRPr="00300A40">
        <w:rPr>
          <w:szCs w:val="24"/>
          <w:lang w:val="ru-RU" w:eastAsia="it-IT"/>
        </w:rPr>
        <w:t xml:space="preserve"> </w:t>
      </w:r>
      <w:r w:rsidR="00271D80" w:rsidRPr="00300A40">
        <w:rPr>
          <w:szCs w:val="24"/>
          <w:lang w:eastAsia="it-IT"/>
        </w:rPr>
        <w:t>somneniya</w:t>
      </w:r>
      <w:r w:rsidR="00271D80" w:rsidRPr="00300A40">
        <w:rPr>
          <w:szCs w:val="24"/>
          <w:lang w:val="ru-RU" w:eastAsia="it-IT"/>
        </w:rPr>
        <w:t xml:space="preserve">, </w:t>
      </w:r>
      <w:r w:rsidR="00271D80" w:rsidRPr="00300A40">
        <w:rPr>
          <w:szCs w:val="24"/>
          <w:lang w:eastAsia="it-IT"/>
        </w:rPr>
        <w:t>deystviy</w:t>
      </w:r>
      <w:r w:rsidR="00271D80" w:rsidRPr="00300A40">
        <w:rPr>
          <w:szCs w:val="24"/>
          <w:lang w:val="ru-RU" w:eastAsia="it-IT"/>
        </w:rPr>
        <w:t xml:space="preserve"> </w:t>
      </w:r>
      <w:r w:rsidR="00271D80" w:rsidRPr="00300A40">
        <w:rPr>
          <w:szCs w:val="24"/>
          <w:lang w:eastAsia="it-IT"/>
        </w:rPr>
        <w:t>byvshego</w:t>
      </w:r>
      <w:r w:rsidR="00271D80" w:rsidRPr="00300A40">
        <w:rPr>
          <w:szCs w:val="24"/>
          <w:lang w:val="ru-RU" w:eastAsia="it-IT"/>
        </w:rPr>
        <w:t xml:space="preserve"> </w:t>
      </w:r>
      <w:r w:rsidR="00271D80" w:rsidRPr="00300A40">
        <w:rPr>
          <w:szCs w:val="24"/>
          <w:lang w:eastAsia="it-IT"/>
        </w:rPr>
        <w:t>gruzinskogo</w:t>
      </w:r>
      <w:r w:rsidR="00271D80" w:rsidRPr="00300A40">
        <w:rPr>
          <w:szCs w:val="24"/>
          <w:lang w:val="ru-RU" w:eastAsia="it-IT"/>
        </w:rPr>
        <w:t xml:space="preserve"> </w:t>
      </w:r>
      <w:r w:rsidR="00271D80" w:rsidRPr="00300A40">
        <w:rPr>
          <w:szCs w:val="24"/>
          <w:lang w:eastAsia="it-IT"/>
        </w:rPr>
        <w:t>rukovodstva</w:t>
      </w:r>
      <w:r w:rsidR="00271D80" w:rsidRPr="00300A40">
        <w:rPr>
          <w:szCs w:val="24"/>
          <w:lang w:val="ru-RU" w:eastAsia="it-IT"/>
        </w:rPr>
        <w:t xml:space="preserve">, </w:t>
      </w:r>
      <w:r w:rsidR="00271D80" w:rsidRPr="00300A40">
        <w:rPr>
          <w:szCs w:val="24"/>
          <w:lang w:eastAsia="it-IT"/>
        </w:rPr>
        <w:t>imeyu</w:t>
      </w:r>
      <w:r w:rsidR="00271D80" w:rsidRPr="00300A40">
        <w:rPr>
          <w:szCs w:val="24"/>
          <w:lang w:val="ru-RU" w:eastAsia="it-IT"/>
        </w:rPr>
        <w:t xml:space="preserve"> </w:t>
      </w:r>
      <w:r w:rsidR="00271D80" w:rsidRPr="00300A40">
        <w:rPr>
          <w:szCs w:val="24"/>
          <w:lang w:eastAsia="it-IT"/>
        </w:rPr>
        <w:t>v</w:t>
      </w:r>
      <w:r w:rsidR="00271D80" w:rsidRPr="00300A40">
        <w:rPr>
          <w:szCs w:val="24"/>
          <w:lang w:val="ru-RU" w:eastAsia="it-IT"/>
        </w:rPr>
        <w:t xml:space="preserve"> </w:t>
      </w:r>
      <w:r w:rsidR="00271D80" w:rsidRPr="00300A40">
        <w:rPr>
          <w:szCs w:val="24"/>
          <w:lang w:eastAsia="it-IT"/>
        </w:rPr>
        <w:t>vidu</w:t>
      </w:r>
      <w:r w:rsidR="00271D80" w:rsidRPr="00300A40">
        <w:rPr>
          <w:szCs w:val="24"/>
          <w:lang w:val="ru-RU" w:eastAsia="it-IT"/>
        </w:rPr>
        <w:t xml:space="preserve"> </w:t>
      </w:r>
      <w:r w:rsidR="00271D80" w:rsidRPr="00300A40">
        <w:rPr>
          <w:szCs w:val="24"/>
          <w:lang w:eastAsia="it-IT"/>
        </w:rPr>
        <w:t>navesenie</w:t>
      </w:r>
      <w:r w:rsidR="00271D80" w:rsidRPr="00300A40">
        <w:rPr>
          <w:szCs w:val="24"/>
          <w:lang w:val="ru-RU" w:eastAsia="it-IT"/>
        </w:rPr>
        <w:t xml:space="preserve"> </w:t>
      </w:r>
      <w:r w:rsidR="00271D80" w:rsidRPr="00300A40">
        <w:rPr>
          <w:szCs w:val="24"/>
          <w:lang w:eastAsia="it-IT"/>
        </w:rPr>
        <w:t>udarov</w:t>
      </w:r>
      <w:r w:rsidR="00271D80" w:rsidRPr="00300A40">
        <w:rPr>
          <w:szCs w:val="24"/>
          <w:lang w:val="ru-RU" w:eastAsia="it-IT"/>
        </w:rPr>
        <w:t xml:space="preserve"> </w:t>
      </w:r>
      <w:r w:rsidR="00271D80" w:rsidRPr="00300A40">
        <w:rPr>
          <w:szCs w:val="24"/>
          <w:lang w:eastAsia="it-IT"/>
        </w:rPr>
        <w:t>po</w:t>
      </w:r>
      <w:r w:rsidR="00271D80" w:rsidRPr="00300A40">
        <w:rPr>
          <w:szCs w:val="24"/>
          <w:lang w:val="ru-RU" w:eastAsia="it-IT"/>
        </w:rPr>
        <w:t xml:space="preserve"> </w:t>
      </w:r>
      <w:r w:rsidR="00271D80" w:rsidRPr="00300A40">
        <w:rPr>
          <w:szCs w:val="24"/>
          <w:lang w:eastAsia="it-IT"/>
        </w:rPr>
        <w:t>nashim</w:t>
      </w:r>
      <w:r w:rsidR="00271D80" w:rsidRPr="00300A40">
        <w:rPr>
          <w:szCs w:val="24"/>
          <w:lang w:val="ru-RU" w:eastAsia="it-IT"/>
        </w:rPr>
        <w:t xml:space="preserve"> </w:t>
      </w:r>
      <w:r w:rsidR="00271D80" w:rsidRPr="00300A40">
        <w:rPr>
          <w:szCs w:val="24"/>
          <w:lang w:eastAsia="it-IT"/>
        </w:rPr>
        <w:t>mirotvortsam</w:t>
      </w:r>
      <w:r w:rsidR="00271D80" w:rsidRPr="00300A40">
        <w:rPr>
          <w:szCs w:val="24"/>
          <w:lang w:val="ru-RU" w:eastAsia="it-IT"/>
        </w:rPr>
        <w:t xml:space="preserve"> </w:t>
      </w:r>
      <w:r w:rsidR="00271D80" w:rsidRPr="00300A40">
        <w:rPr>
          <w:szCs w:val="24"/>
          <w:lang w:eastAsia="it-IT"/>
        </w:rPr>
        <w:t>v</w:t>
      </w:r>
      <w:r w:rsidR="00271D80" w:rsidRPr="00300A40">
        <w:rPr>
          <w:szCs w:val="24"/>
          <w:lang w:val="ru-RU" w:eastAsia="it-IT"/>
        </w:rPr>
        <w:t xml:space="preserve"> </w:t>
      </w:r>
      <w:r w:rsidR="00271D80" w:rsidRPr="00300A40">
        <w:rPr>
          <w:szCs w:val="24"/>
          <w:lang w:eastAsia="it-IT"/>
        </w:rPr>
        <w:t>Yuzhnoy</w:t>
      </w:r>
      <w:r w:rsidR="00271D80" w:rsidRPr="00300A40">
        <w:rPr>
          <w:szCs w:val="24"/>
          <w:lang w:val="ru-RU" w:eastAsia="it-IT"/>
        </w:rPr>
        <w:t xml:space="preserve"> </w:t>
      </w:r>
      <w:r w:rsidR="00271D80" w:rsidRPr="00300A40">
        <w:rPr>
          <w:szCs w:val="24"/>
          <w:lang w:eastAsia="it-IT"/>
        </w:rPr>
        <w:t>Osetii</w:t>
      </w:r>
      <w:r w:rsidR="00271D80" w:rsidRPr="00300A40">
        <w:rPr>
          <w:szCs w:val="24"/>
          <w:lang w:val="ru-RU" w:eastAsia="it-IT"/>
        </w:rPr>
        <w:t xml:space="preserve">, </w:t>
      </w:r>
      <w:r w:rsidR="00271D80" w:rsidRPr="00300A40">
        <w:rPr>
          <w:szCs w:val="24"/>
          <w:lang w:eastAsia="it-IT"/>
        </w:rPr>
        <w:t>Rossiya</w:t>
      </w:r>
      <w:r w:rsidR="00271D80" w:rsidRPr="00300A40">
        <w:rPr>
          <w:szCs w:val="24"/>
          <w:lang w:val="ru-RU" w:eastAsia="it-IT"/>
        </w:rPr>
        <w:t xml:space="preserve"> </w:t>
      </w:r>
      <w:r w:rsidR="00271D80" w:rsidRPr="00300A40">
        <w:rPr>
          <w:szCs w:val="24"/>
          <w:lang w:eastAsia="it-IT"/>
        </w:rPr>
        <w:t>priznala</w:t>
      </w:r>
      <w:r w:rsidR="00271D80" w:rsidRPr="00300A40">
        <w:rPr>
          <w:szCs w:val="24"/>
          <w:lang w:val="ru-RU" w:eastAsia="it-IT"/>
        </w:rPr>
        <w:t xml:space="preserve"> </w:t>
      </w:r>
      <w:r w:rsidR="00271D80" w:rsidRPr="00300A40">
        <w:rPr>
          <w:szCs w:val="24"/>
          <w:lang w:eastAsia="it-IT"/>
        </w:rPr>
        <w:t>nezavisimost</w:t>
      </w:r>
      <w:r w:rsidR="00271D80" w:rsidRPr="00300A40">
        <w:rPr>
          <w:szCs w:val="24"/>
          <w:lang w:val="ru-RU" w:eastAsia="it-IT"/>
        </w:rPr>
        <w:t xml:space="preserve"> </w:t>
      </w:r>
      <w:r w:rsidR="00271D80" w:rsidRPr="00300A40">
        <w:rPr>
          <w:szCs w:val="24"/>
          <w:lang w:eastAsia="it-IT"/>
        </w:rPr>
        <w:t>Yuzhnoy</w:t>
      </w:r>
      <w:r w:rsidR="00271D80" w:rsidRPr="00300A40">
        <w:rPr>
          <w:szCs w:val="24"/>
          <w:lang w:val="ru-RU" w:eastAsia="it-IT"/>
        </w:rPr>
        <w:t xml:space="preserve"> </w:t>
      </w:r>
      <w:r w:rsidR="00271D80" w:rsidRPr="00300A40">
        <w:rPr>
          <w:szCs w:val="24"/>
          <w:lang w:eastAsia="it-IT"/>
        </w:rPr>
        <w:t>Osetii</w:t>
      </w:r>
      <w:r w:rsidR="00271D80" w:rsidRPr="00300A40">
        <w:rPr>
          <w:szCs w:val="24"/>
          <w:lang w:val="ru-RU" w:eastAsia="it-IT"/>
        </w:rPr>
        <w:t xml:space="preserve"> </w:t>
      </w:r>
      <w:r w:rsidR="00271D80" w:rsidRPr="00300A40">
        <w:rPr>
          <w:szCs w:val="24"/>
          <w:lang w:eastAsia="it-IT"/>
        </w:rPr>
        <w:t>i</w:t>
      </w:r>
      <w:r w:rsidR="00271D80" w:rsidRPr="00300A40">
        <w:rPr>
          <w:szCs w:val="24"/>
          <w:lang w:val="ru-RU" w:eastAsia="it-IT"/>
        </w:rPr>
        <w:t xml:space="preserve"> </w:t>
      </w:r>
      <w:r w:rsidR="00271D80" w:rsidRPr="00300A40">
        <w:rPr>
          <w:szCs w:val="24"/>
          <w:lang w:eastAsia="it-IT"/>
        </w:rPr>
        <w:t>Abkhazii</w:t>
      </w:r>
      <w:r w:rsidR="00271D80" w:rsidRPr="00300A40">
        <w:rPr>
          <w:szCs w:val="24"/>
          <w:lang w:val="ru-RU" w:eastAsia="it-IT"/>
        </w:rPr>
        <w:t xml:space="preserve">. </w:t>
      </w:r>
      <w:r w:rsidR="00271D80" w:rsidRPr="00300A40">
        <w:rPr>
          <w:szCs w:val="24"/>
          <w:lang w:eastAsia="it-IT"/>
        </w:rPr>
        <w:t>Komu</w:t>
      </w:r>
      <w:r w:rsidR="00271D80" w:rsidRPr="00300A40">
        <w:rPr>
          <w:szCs w:val="24"/>
          <w:lang w:val="ru-RU" w:eastAsia="it-IT"/>
        </w:rPr>
        <w:t>-</w:t>
      </w:r>
      <w:r w:rsidR="00271D80" w:rsidRPr="00300A40">
        <w:rPr>
          <w:szCs w:val="24"/>
          <w:lang w:eastAsia="it-IT"/>
        </w:rPr>
        <w:t>to</w:t>
      </w:r>
      <w:r w:rsidR="00271D80" w:rsidRPr="00300A40">
        <w:rPr>
          <w:szCs w:val="24"/>
          <w:lang w:val="ru-RU" w:eastAsia="it-IT"/>
        </w:rPr>
        <w:t xml:space="preserve"> </w:t>
      </w:r>
      <w:r w:rsidR="00271D80" w:rsidRPr="00300A40">
        <w:rPr>
          <w:szCs w:val="24"/>
          <w:lang w:eastAsia="it-IT"/>
        </w:rPr>
        <w:t>eto</w:t>
      </w:r>
      <w:r w:rsidR="00271D80" w:rsidRPr="00300A40">
        <w:rPr>
          <w:szCs w:val="24"/>
          <w:lang w:val="ru-RU" w:eastAsia="it-IT"/>
        </w:rPr>
        <w:t xml:space="preserve"> </w:t>
      </w:r>
      <w:r w:rsidR="00271D80" w:rsidRPr="00300A40">
        <w:rPr>
          <w:szCs w:val="24"/>
          <w:lang w:eastAsia="it-IT"/>
        </w:rPr>
        <w:t>mozhet</w:t>
      </w:r>
      <w:r w:rsidR="00271D80" w:rsidRPr="00300A40">
        <w:rPr>
          <w:szCs w:val="24"/>
          <w:lang w:val="ru-RU" w:eastAsia="it-IT"/>
        </w:rPr>
        <w:t xml:space="preserve"> </w:t>
      </w:r>
      <w:r w:rsidR="00271D80" w:rsidRPr="00300A40">
        <w:rPr>
          <w:szCs w:val="24"/>
          <w:lang w:eastAsia="it-IT"/>
        </w:rPr>
        <w:t>nravit</w:t>
      </w:r>
      <w:r w:rsidR="00271D80" w:rsidRPr="00300A40">
        <w:rPr>
          <w:szCs w:val="24"/>
          <w:lang w:val="ru-RU" w:eastAsia="it-IT"/>
        </w:rPr>
        <w:t>'</w:t>
      </w:r>
      <w:r w:rsidR="00271D80" w:rsidRPr="00300A40">
        <w:rPr>
          <w:szCs w:val="24"/>
          <w:lang w:eastAsia="it-IT"/>
        </w:rPr>
        <w:t>sya</w:t>
      </w:r>
      <w:r w:rsidR="00271D80" w:rsidRPr="00300A40">
        <w:rPr>
          <w:szCs w:val="24"/>
          <w:lang w:val="ru-RU" w:eastAsia="it-IT"/>
        </w:rPr>
        <w:t xml:space="preserve">, </w:t>
      </w:r>
      <w:r w:rsidR="00271D80" w:rsidRPr="00300A40">
        <w:rPr>
          <w:szCs w:val="24"/>
          <w:lang w:eastAsia="it-IT"/>
        </w:rPr>
        <w:t>komu</w:t>
      </w:r>
      <w:r w:rsidR="00271D80" w:rsidRPr="00300A40">
        <w:rPr>
          <w:szCs w:val="24"/>
          <w:lang w:val="ru-RU" w:eastAsia="it-IT"/>
        </w:rPr>
        <w:t>-</w:t>
      </w:r>
      <w:r w:rsidR="00271D80" w:rsidRPr="00300A40">
        <w:rPr>
          <w:szCs w:val="24"/>
          <w:lang w:eastAsia="it-IT"/>
        </w:rPr>
        <w:t>to</w:t>
      </w:r>
      <w:r w:rsidR="00271D80" w:rsidRPr="00300A40">
        <w:rPr>
          <w:szCs w:val="24"/>
          <w:lang w:val="ru-RU" w:eastAsia="it-IT"/>
        </w:rPr>
        <w:t xml:space="preserve"> </w:t>
      </w:r>
      <w:r w:rsidR="00271D80" w:rsidRPr="00300A40">
        <w:rPr>
          <w:szCs w:val="24"/>
          <w:lang w:eastAsia="it-IT"/>
        </w:rPr>
        <w:t>ne</w:t>
      </w:r>
      <w:r w:rsidR="00271D80" w:rsidRPr="00300A40">
        <w:rPr>
          <w:szCs w:val="24"/>
          <w:lang w:val="ru-RU" w:eastAsia="it-IT"/>
        </w:rPr>
        <w:t xml:space="preserve"> </w:t>
      </w:r>
      <w:r w:rsidR="00271D80" w:rsidRPr="00300A40">
        <w:rPr>
          <w:szCs w:val="24"/>
          <w:lang w:eastAsia="it-IT"/>
        </w:rPr>
        <w:t>nravit</w:t>
      </w:r>
      <w:r w:rsidR="00271D80" w:rsidRPr="00300A40">
        <w:rPr>
          <w:szCs w:val="24"/>
          <w:lang w:val="ru-RU" w:eastAsia="it-IT"/>
        </w:rPr>
        <w:t>'</w:t>
      </w:r>
      <w:r w:rsidR="00271D80" w:rsidRPr="00300A40">
        <w:rPr>
          <w:szCs w:val="24"/>
          <w:lang w:eastAsia="it-IT"/>
        </w:rPr>
        <w:t>sya</w:t>
      </w:r>
      <w:r w:rsidR="00271D80" w:rsidRPr="00300A40">
        <w:rPr>
          <w:szCs w:val="24"/>
          <w:lang w:val="ru-RU" w:eastAsia="it-IT"/>
        </w:rPr>
        <w:t xml:space="preserve">, </w:t>
      </w:r>
      <w:r w:rsidR="00271D80" w:rsidRPr="00300A40">
        <w:rPr>
          <w:szCs w:val="24"/>
          <w:lang w:eastAsia="it-IT"/>
        </w:rPr>
        <w:t>no</w:t>
      </w:r>
      <w:r w:rsidR="00271D80" w:rsidRPr="00300A40">
        <w:rPr>
          <w:szCs w:val="24"/>
          <w:lang w:val="ru-RU" w:eastAsia="it-IT"/>
        </w:rPr>
        <w:t xml:space="preserve"> </w:t>
      </w:r>
      <w:r w:rsidR="00271D80" w:rsidRPr="00300A40">
        <w:rPr>
          <w:szCs w:val="24"/>
          <w:lang w:eastAsia="it-IT"/>
        </w:rPr>
        <w:t>my</w:t>
      </w:r>
      <w:r w:rsidR="00271D80" w:rsidRPr="00300A40">
        <w:rPr>
          <w:szCs w:val="24"/>
          <w:lang w:val="ru-RU" w:eastAsia="it-IT"/>
        </w:rPr>
        <w:t xml:space="preserve"> </w:t>
      </w:r>
      <w:r w:rsidR="00271D80" w:rsidRPr="00300A40">
        <w:rPr>
          <w:szCs w:val="24"/>
          <w:lang w:eastAsia="it-IT"/>
        </w:rPr>
        <w:t>delali</w:t>
      </w:r>
      <w:r w:rsidR="00271D80" w:rsidRPr="00300A40">
        <w:rPr>
          <w:szCs w:val="24"/>
          <w:lang w:val="ru-RU" w:eastAsia="it-IT"/>
        </w:rPr>
        <w:t xml:space="preserve"> </w:t>
      </w:r>
      <w:r w:rsidR="00271D80" w:rsidRPr="00300A40">
        <w:rPr>
          <w:szCs w:val="24"/>
          <w:lang w:eastAsia="it-IT"/>
        </w:rPr>
        <w:t>eto</w:t>
      </w:r>
      <w:r w:rsidR="00271D80" w:rsidRPr="00300A40">
        <w:rPr>
          <w:szCs w:val="24"/>
          <w:lang w:val="ru-RU" w:eastAsia="it-IT"/>
        </w:rPr>
        <w:t xml:space="preserve"> </w:t>
      </w:r>
      <w:r w:rsidR="00271D80" w:rsidRPr="00300A40">
        <w:rPr>
          <w:szCs w:val="24"/>
          <w:lang w:eastAsia="it-IT"/>
        </w:rPr>
        <w:t>v</w:t>
      </w:r>
      <w:r w:rsidR="00271D80" w:rsidRPr="00300A40">
        <w:rPr>
          <w:szCs w:val="24"/>
          <w:lang w:val="ru-RU" w:eastAsia="it-IT"/>
        </w:rPr>
        <w:t xml:space="preserve"> </w:t>
      </w:r>
      <w:r w:rsidR="00271D80" w:rsidRPr="00300A40">
        <w:rPr>
          <w:szCs w:val="24"/>
          <w:lang w:eastAsia="it-IT"/>
        </w:rPr>
        <w:t>interesakh</w:t>
      </w:r>
      <w:r w:rsidR="00271D80" w:rsidRPr="00300A40">
        <w:rPr>
          <w:szCs w:val="24"/>
          <w:lang w:val="ru-RU" w:eastAsia="it-IT"/>
        </w:rPr>
        <w:t xml:space="preserve"> </w:t>
      </w:r>
      <w:r w:rsidR="00271D80" w:rsidRPr="00300A40">
        <w:rPr>
          <w:szCs w:val="24"/>
          <w:lang w:eastAsia="it-IT"/>
        </w:rPr>
        <w:t>tekh</w:t>
      </w:r>
      <w:r w:rsidR="00271D80" w:rsidRPr="00300A40">
        <w:rPr>
          <w:szCs w:val="24"/>
          <w:lang w:val="ru-RU" w:eastAsia="it-IT"/>
        </w:rPr>
        <w:t xml:space="preserve"> </w:t>
      </w:r>
      <w:r w:rsidR="00271D80" w:rsidRPr="00300A40">
        <w:rPr>
          <w:szCs w:val="24"/>
          <w:lang w:eastAsia="it-IT"/>
        </w:rPr>
        <w:t>lyudey</w:t>
      </w:r>
      <w:r w:rsidR="00271D80" w:rsidRPr="00300A40">
        <w:rPr>
          <w:szCs w:val="24"/>
          <w:lang w:val="ru-RU" w:eastAsia="it-IT"/>
        </w:rPr>
        <w:t xml:space="preserve">, </w:t>
      </w:r>
      <w:r w:rsidR="00271D80" w:rsidRPr="00300A40">
        <w:rPr>
          <w:szCs w:val="24"/>
          <w:lang w:eastAsia="it-IT"/>
        </w:rPr>
        <w:t>kotorye</w:t>
      </w:r>
      <w:r w:rsidR="00271D80" w:rsidRPr="00300A40">
        <w:rPr>
          <w:szCs w:val="24"/>
          <w:lang w:val="ru-RU" w:eastAsia="it-IT"/>
        </w:rPr>
        <w:t xml:space="preserve"> </w:t>
      </w:r>
      <w:r w:rsidR="00271D80" w:rsidRPr="00300A40">
        <w:rPr>
          <w:szCs w:val="24"/>
          <w:lang w:eastAsia="it-IT"/>
        </w:rPr>
        <w:t>tam</w:t>
      </w:r>
      <w:r w:rsidR="00271D80" w:rsidRPr="00300A40">
        <w:rPr>
          <w:szCs w:val="24"/>
          <w:lang w:val="ru-RU" w:eastAsia="it-IT"/>
        </w:rPr>
        <w:t xml:space="preserve"> </w:t>
      </w:r>
      <w:r w:rsidR="00271D80" w:rsidRPr="00300A40">
        <w:rPr>
          <w:szCs w:val="24"/>
          <w:lang w:eastAsia="it-IT"/>
        </w:rPr>
        <w:t>prozhivayut</w:t>
      </w:r>
      <w:r w:rsidR="00271D80" w:rsidRPr="00300A40">
        <w:rPr>
          <w:szCs w:val="24"/>
          <w:lang w:val="ru-RU" w:eastAsia="it-IT"/>
        </w:rPr>
        <w:t>,...</w:t>
      </w:r>
      <w:r w:rsidR="00271D80" w:rsidRPr="00300A40">
        <w:rPr>
          <w:szCs w:val="24"/>
          <w:lang w:eastAsia="it-IT"/>
        </w:rPr>
        <w:t>i</w:t>
      </w:r>
      <w:r w:rsidR="00271D80" w:rsidRPr="00300A40">
        <w:rPr>
          <w:szCs w:val="24"/>
          <w:lang w:val="ru-RU" w:eastAsia="it-IT"/>
        </w:rPr>
        <w:t xml:space="preserve"> </w:t>
      </w:r>
      <w:r w:rsidR="00271D80" w:rsidRPr="00300A40">
        <w:rPr>
          <w:szCs w:val="24"/>
          <w:lang w:eastAsia="it-IT"/>
        </w:rPr>
        <w:t>my</w:t>
      </w:r>
      <w:r w:rsidR="00271D80" w:rsidRPr="00300A40">
        <w:rPr>
          <w:szCs w:val="24"/>
          <w:lang w:val="ru-RU" w:eastAsia="it-IT"/>
        </w:rPr>
        <w:t xml:space="preserve"> </w:t>
      </w:r>
      <w:r w:rsidR="00271D80" w:rsidRPr="00300A40">
        <w:rPr>
          <w:szCs w:val="24"/>
          <w:lang w:eastAsia="it-IT"/>
        </w:rPr>
        <w:t>ne</w:t>
      </w:r>
      <w:r w:rsidR="00271D80" w:rsidRPr="00300A40">
        <w:rPr>
          <w:szCs w:val="24"/>
          <w:lang w:val="ru-RU" w:eastAsia="it-IT"/>
        </w:rPr>
        <w:t xml:space="preserve"> </w:t>
      </w:r>
      <w:r w:rsidR="00271D80" w:rsidRPr="00300A40">
        <w:rPr>
          <w:szCs w:val="24"/>
          <w:lang w:eastAsia="it-IT"/>
        </w:rPr>
        <w:t>stesnyayemsya</w:t>
      </w:r>
      <w:r w:rsidR="00271D80" w:rsidRPr="00300A40">
        <w:rPr>
          <w:szCs w:val="24"/>
          <w:lang w:val="ru-RU" w:eastAsia="it-IT"/>
        </w:rPr>
        <w:t xml:space="preserve"> </w:t>
      </w:r>
      <w:r w:rsidR="00271D80" w:rsidRPr="00300A40">
        <w:rPr>
          <w:szCs w:val="24"/>
          <w:lang w:eastAsia="it-IT"/>
        </w:rPr>
        <w:t>ob</w:t>
      </w:r>
      <w:r w:rsidR="00271D80" w:rsidRPr="00300A40">
        <w:rPr>
          <w:szCs w:val="24"/>
          <w:lang w:val="ru-RU" w:eastAsia="it-IT"/>
        </w:rPr>
        <w:t xml:space="preserve"> </w:t>
      </w:r>
      <w:r w:rsidR="00271D80" w:rsidRPr="00300A40">
        <w:rPr>
          <w:szCs w:val="24"/>
          <w:lang w:eastAsia="it-IT"/>
        </w:rPr>
        <w:t>etom</w:t>
      </w:r>
      <w:r w:rsidR="00271D80" w:rsidRPr="00300A40">
        <w:rPr>
          <w:szCs w:val="24"/>
          <w:lang w:val="ru-RU" w:eastAsia="it-IT"/>
        </w:rPr>
        <w:t xml:space="preserve"> </w:t>
      </w:r>
      <w:r w:rsidR="00271D80" w:rsidRPr="00300A40">
        <w:rPr>
          <w:szCs w:val="24"/>
          <w:lang w:eastAsia="it-IT"/>
        </w:rPr>
        <w:t>pryamo</w:t>
      </w:r>
      <w:r w:rsidR="00271D80" w:rsidRPr="00300A40">
        <w:rPr>
          <w:szCs w:val="24"/>
          <w:lang w:val="ru-RU" w:eastAsia="it-IT"/>
        </w:rPr>
        <w:t xml:space="preserve"> </w:t>
      </w:r>
      <w:r w:rsidR="00271D80" w:rsidRPr="00300A40">
        <w:rPr>
          <w:szCs w:val="24"/>
          <w:lang w:eastAsia="it-IT"/>
        </w:rPr>
        <w:t>govorit</w:t>
      </w:r>
      <w:r w:rsidR="00271D80" w:rsidRPr="00300A40">
        <w:rPr>
          <w:szCs w:val="24"/>
          <w:lang w:val="ru-RU" w:eastAsia="it-IT"/>
        </w:rPr>
        <w:t xml:space="preserve">'. </w:t>
      </w:r>
      <w:r w:rsidR="00271D80" w:rsidRPr="00300A40">
        <w:rPr>
          <w:szCs w:val="24"/>
          <w:lang w:eastAsia="it-IT"/>
        </w:rPr>
        <w:t>V</w:t>
      </w:r>
      <w:r w:rsidR="00271D80" w:rsidRPr="00300A40">
        <w:rPr>
          <w:szCs w:val="24"/>
          <w:lang w:val="ru-RU" w:eastAsia="it-IT"/>
        </w:rPr>
        <w:t xml:space="preserve"> </w:t>
      </w:r>
      <w:r w:rsidR="00271D80" w:rsidRPr="00300A40">
        <w:rPr>
          <w:szCs w:val="24"/>
          <w:lang w:eastAsia="it-IT"/>
        </w:rPr>
        <w:t>otnoshenii</w:t>
      </w:r>
      <w:r w:rsidR="00271D80" w:rsidRPr="00300A40">
        <w:rPr>
          <w:szCs w:val="24"/>
          <w:lang w:val="ru-RU" w:eastAsia="it-IT"/>
        </w:rPr>
        <w:t xml:space="preserve"> </w:t>
      </w:r>
      <w:r w:rsidR="00271D80" w:rsidRPr="00300A40">
        <w:rPr>
          <w:szCs w:val="24"/>
          <w:lang w:eastAsia="it-IT"/>
        </w:rPr>
        <w:t>Karabakha</w:t>
      </w:r>
      <w:r w:rsidR="00271D80" w:rsidRPr="00300A40">
        <w:rPr>
          <w:szCs w:val="24"/>
          <w:lang w:val="ru-RU" w:eastAsia="it-IT"/>
        </w:rPr>
        <w:t xml:space="preserve"> </w:t>
      </w:r>
      <w:r w:rsidR="00271D80" w:rsidRPr="00300A40">
        <w:rPr>
          <w:szCs w:val="24"/>
          <w:lang w:eastAsia="it-IT"/>
        </w:rPr>
        <w:t>eto</w:t>
      </w:r>
      <w:r w:rsidR="00271D80" w:rsidRPr="00300A40">
        <w:rPr>
          <w:szCs w:val="24"/>
          <w:lang w:val="ru-RU" w:eastAsia="it-IT"/>
        </w:rPr>
        <w:t xml:space="preserve"> </w:t>
      </w:r>
      <w:r w:rsidR="00271D80" w:rsidRPr="00300A40">
        <w:rPr>
          <w:szCs w:val="24"/>
          <w:lang w:eastAsia="it-IT"/>
        </w:rPr>
        <w:t>sdelano</w:t>
      </w:r>
      <w:r w:rsidR="00271D80" w:rsidRPr="00300A40">
        <w:rPr>
          <w:szCs w:val="24"/>
          <w:lang w:val="ru-RU" w:eastAsia="it-IT"/>
        </w:rPr>
        <w:t xml:space="preserve"> </w:t>
      </w:r>
      <w:r w:rsidR="00271D80" w:rsidRPr="00300A40">
        <w:rPr>
          <w:szCs w:val="24"/>
          <w:lang w:eastAsia="it-IT"/>
        </w:rPr>
        <w:t>ne</w:t>
      </w:r>
      <w:r w:rsidR="00271D80" w:rsidRPr="00300A40">
        <w:rPr>
          <w:szCs w:val="24"/>
          <w:lang w:val="ru-RU" w:eastAsia="it-IT"/>
        </w:rPr>
        <w:t xml:space="preserve"> </w:t>
      </w:r>
      <w:r w:rsidR="00271D80" w:rsidRPr="00300A40">
        <w:rPr>
          <w:szCs w:val="24"/>
          <w:lang w:eastAsia="it-IT"/>
        </w:rPr>
        <w:t>bylo</w:t>
      </w:r>
      <w:r w:rsidR="00271D80" w:rsidRPr="00300A40">
        <w:rPr>
          <w:szCs w:val="24"/>
          <w:lang w:val="ru-RU" w:eastAsia="it-IT"/>
        </w:rPr>
        <w:t xml:space="preserve">, </w:t>
      </w:r>
      <w:r w:rsidR="00271D80" w:rsidRPr="00300A40">
        <w:rPr>
          <w:szCs w:val="24"/>
          <w:lang w:eastAsia="it-IT"/>
        </w:rPr>
        <w:t>i</w:t>
      </w:r>
      <w:r w:rsidR="00271D80" w:rsidRPr="00300A40">
        <w:rPr>
          <w:szCs w:val="24"/>
          <w:lang w:val="ru-RU" w:eastAsia="it-IT"/>
        </w:rPr>
        <w:t xml:space="preserve"> </w:t>
      </w:r>
      <w:r w:rsidR="00271D80" w:rsidRPr="00300A40">
        <w:rPr>
          <w:szCs w:val="24"/>
          <w:lang w:eastAsia="it-IT"/>
        </w:rPr>
        <w:t>eto</w:t>
      </w:r>
      <w:r w:rsidR="00271D80" w:rsidRPr="00300A40">
        <w:rPr>
          <w:szCs w:val="24"/>
          <w:lang w:val="ru-RU" w:eastAsia="it-IT"/>
        </w:rPr>
        <w:t xml:space="preserve"> </w:t>
      </w:r>
      <w:r w:rsidR="00271D80" w:rsidRPr="00300A40">
        <w:rPr>
          <w:szCs w:val="24"/>
          <w:lang w:eastAsia="it-IT"/>
        </w:rPr>
        <w:t>sushchestvennym</w:t>
      </w:r>
      <w:r w:rsidR="00271D80" w:rsidRPr="00300A40">
        <w:rPr>
          <w:szCs w:val="24"/>
          <w:lang w:val="ru-RU" w:eastAsia="it-IT"/>
        </w:rPr>
        <w:t xml:space="preserve"> </w:t>
      </w:r>
      <w:r w:rsidR="00271D80" w:rsidRPr="00300A40">
        <w:rPr>
          <w:szCs w:val="24"/>
          <w:lang w:eastAsia="it-IT"/>
        </w:rPr>
        <w:t>obrazom</w:t>
      </w:r>
      <w:r w:rsidR="00271D80" w:rsidRPr="00300A40">
        <w:rPr>
          <w:szCs w:val="24"/>
          <w:lang w:val="ru-RU" w:eastAsia="it-IT"/>
        </w:rPr>
        <w:t xml:space="preserve">, </w:t>
      </w:r>
      <w:r w:rsidR="00271D80" w:rsidRPr="00300A40">
        <w:rPr>
          <w:szCs w:val="24"/>
          <w:lang w:eastAsia="it-IT"/>
        </w:rPr>
        <w:t>konechno</w:t>
      </w:r>
      <w:r w:rsidR="00271D80" w:rsidRPr="00300A40">
        <w:rPr>
          <w:szCs w:val="24"/>
          <w:lang w:val="ru-RU" w:eastAsia="it-IT"/>
        </w:rPr>
        <w:t xml:space="preserve">, </w:t>
      </w:r>
      <w:r w:rsidR="00271D80" w:rsidRPr="00300A40">
        <w:rPr>
          <w:szCs w:val="24"/>
          <w:lang w:eastAsia="it-IT"/>
        </w:rPr>
        <w:t>okazyvalo</w:t>
      </w:r>
      <w:r w:rsidR="00271D80" w:rsidRPr="00300A40">
        <w:rPr>
          <w:szCs w:val="24"/>
          <w:lang w:val="ru-RU" w:eastAsia="it-IT"/>
        </w:rPr>
        <w:t xml:space="preserve"> </w:t>
      </w:r>
      <w:r w:rsidR="00271D80" w:rsidRPr="00300A40">
        <w:rPr>
          <w:szCs w:val="24"/>
          <w:lang w:eastAsia="it-IT"/>
        </w:rPr>
        <w:t>vliyaniye</w:t>
      </w:r>
      <w:r w:rsidR="00271D80" w:rsidRPr="00300A40">
        <w:rPr>
          <w:szCs w:val="24"/>
          <w:lang w:val="ru-RU" w:eastAsia="it-IT"/>
        </w:rPr>
        <w:t xml:space="preserve"> </w:t>
      </w:r>
      <w:r w:rsidR="00271D80" w:rsidRPr="00300A40">
        <w:rPr>
          <w:szCs w:val="24"/>
          <w:lang w:eastAsia="it-IT"/>
        </w:rPr>
        <w:t>na</w:t>
      </w:r>
      <w:r w:rsidR="00271D80" w:rsidRPr="00300A40">
        <w:rPr>
          <w:szCs w:val="24"/>
          <w:lang w:val="ru-RU" w:eastAsia="it-IT"/>
        </w:rPr>
        <w:t xml:space="preserve"> </w:t>
      </w:r>
      <w:r w:rsidR="00271D80" w:rsidRPr="00300A40">
        <w:rPr>
          <w:szCs w:val="24"/>
          <w:lang w:eastAsia="it-IT"/>
        </w:rPr>
        <w:t>vse</w:t>
      </w:r>
      <w:r w:rsidR="00271D80" w:rsidRPr="00300A40">
        <w:rPr>
          <w:szCs w:val="24"/>
          <w:lang w:val="ru-RU" w:eastAsia="it-IT"/>
        </w:rPr>
        <w:t xml:space="preserve"> </w:t>
      </w:r>
      <w:r w:rsidR="00271D80" w:rsidRPr="00300A40">
        <w:rPr>
          <w:szCs w:val="24"/>
          <w:lang w:eastAsia="it-IT"/>
        </w:rPr>
        <w:t>proiskhodyashchiye</w:t>
      </w:r>
      <w:r w:rsidR="00271D80" w:rsidRPr="00300A40">
        <w:rPr>
          <w:szCs w:val="24"/>
          <w:lang w:val="ru-RU" w:eastAsia="it-IT"/>
        </w:rPr>
        <w:t xml:space="preserve"> </w:t>
      </w:r>
      <w:r w:rsidR="00271D80" w:rsidRPr="00300A40">
        <w:rPr>
          <w:szCs w:val="24"/>
          <w:lang w:eastAsia="it-IT"/>
        </w:rPr>
        <w:t>tam</w:t>
      </w:r>
      <w:r w:rsidR="00271D80" w:rsidRPr="00300A40">
        <w:rPr>
          <w:szCs w:val="24"/>
          <w:lang w:val="ru-RU" w:eastAsia="it-IT"/>
        </w:rPr>
        <w:t xml:space="preserve"> </w:t>
      </w:r>
      <w:r w:rsidR="00271D80" w:rsidRPr="00300A40">
        <w:rPr>
          <w:szCs w:val="24"/>
          <w:lang w:eastAsia="it-IT"/>
        </w:rPr>
        <w:t>sobytiya</w:t>
      </w:r>
      <w:r w:rsidR="00271D80" w:rsidRPr="00300A40">
        <w:rPr>
          <w:szCs w:val="24"/>
          <w:lang w:val="ru-RU" w:eastAsia="it-IT"/>
        </w:rPr>
        <w:t>) (</w:t>
      </w:r>
      <w:r w:rsidR="00271D80" w:rsidRPr="00300A40">
        <w:rPr>
          <w:szCs w:val="24"/>
          <w:lang w:eastAsia="it-IT"/>
        </w:rPr>
        <w:t>Putin</w:t>
      </w:r>
      <w:r w:rsidR="00271D80" w:rsidRPr="00300A40">
        <w:rPr>
          <w:szCs w:val="24"/>
          <w:lang w:val="ru-RU" w:eastAsia="it-IT"/>
        </w:rPr>
        <w:t xml:space="preserve"> 2020). </w:t>
      </w:r>
      <w:r w:rsidR="00271D80" w:rsidRPr="00300A40">
        <w:rPr>
          <w:szCs w:val="24"/>
          <w:lang w:eastAsia="it-IT"/>
        </w:rPr>
        <w:t>In reminding its audience that Russia had both recognized and taken action in other regions, the Kremlin sought to position itself as the sole authority capable of guaranteeing regional security, claiming that the outcome of the 44-day conflict stemmed from Armenia's earlier decision to deny Moscow full responsibility for the security of Nagorno-Karabakh.</w:t>
      </w:r>
    </w:p>
    <w:p w14:paraId="4B4C3479"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Nonetheless, this critical juncture differs from the previous one due to the increasing scrutiny of Russia's role as a hero-protector. Particularly in 2020, questions arose regarding why Russia did not intervene alongside Armenia from the outset to halt Azerbaijan's ambitions in Nagorno-Karabakh. Russian actors varied in their responses to potential anxieties about their failure to act as Armenia's allies since the very beginning of the conflict, for example by not deploying troops to stop the Azerbaijani advance in the enclave. Even though official discourse noted that Russia “was fully complying with its obligations in keeping with its obligations" (полностью выполняла все свои обязательства/polnost’iu vypolniala vse svoi obiazatel’stva) (Putin 2020) and “thanks to active mediation efforts by the Russian Federation and the personal involvement of President V.V. Putin, the 44-day armed confrontation between Armenia and Azerbaijan in Nagorno-Karabakh was halted” (Благодаря активным посредническим усилиям Российской Федерации и личному участию Президента В.В.Путина удалось остановить 44-дневное вооруженное противостояние между Арменией и Азербайджаном в Нагорном Карабахе/Blagodaria aktivnym posrednicheskim usiliiam Rossiiskoi Federatsii i lichnomu uchastiiu Prezidenta V.V. Putina udalos’ ostanovit’ 44-dnevnoe vooruzhennoe protivostoianie mezhdu Armeniei i Azerbaidzhanom v Nagornom Karabakhe( Rudenko 2021), semi-official discourse reacted by framing the Armenian government in the role of the coward within the hero-protector narrative.  </w:t>
      </w:r>
    </w:p>
    <w:p w14:paraId="1C249B63" w14:textId="77777777" w:rsidR="00300A40" w:rsidRDefault="00271D80" w:rsidP="00300A40">
      <w:pPr>
        <w:pStyle w:val="Paragrafoelenco"/>
        <w:spacing w:before="176"/>
        <w:ind w:left="283" w:right="420" w:firstLine="360"/>
        <w:rPr>
          <w:szCs w:val="24"/>
          <w:lang w:eastAsia="it-IT"/>
        </w:rPr>
      </w:pPr>
      <w:r w:rsidRPr="00300A40">
        <w:rPr>
          <w:szCs w:val="24"/>
          <w:lang w:eastAsia="it-IT"/>
        </w:rPr>
        <w:t>This dynamic became increasingly apparent following a series of events that undermined Armenia's confidence in Russia's capacity to act as a dependable security guarantor. During 2021 and 2022, especially after the Kremlin's comprehensive invasion of Ukraine, Azerbaijan progressively fortified its positions in Nagorno-Karabakh and initiated assaults on the internationally recognized Armenian territory. The perceived inaction of Russia and the CSTO compelled Armenia to reevaluate its membership and to examine the ongoing presence of Russian military installations within its territory (De Waal 2023). This phase culminated in 2022 with the Azerbaijani-enforced blockade that, despite the presence of Russian peacekeepers, isolated Nagorno-Karabakh from Armenia, depriving the local population of essential goods such as food, medicines, and fuel. These developments ultimately precipitated the fall of the Republic of Artsakh in 2023.</w:t>
      </w:r>
    </w:p>
    <w:p w14:paraId="4587CADF"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During this period, Russian actors exhibited a range of content and emotional responses. On one hand, they consistently upheld the hero-protector/victim dichotomy. Russian officials expressed that they were "certainly interested in making the South Caucasus a peaceful and steadily developing region” (безусловно, заинтересованы в том, чтобы Закавказье было спокойным и стабильно развивающимся регионом/ bezuslovno, zainteresovany v tom, chtoby Zakavkaz'e bylo spokoynym i stabil'no razvivayushchimsya regionom) (Putin 2022), or "Russia is always ready to support the brotherly Armenian people and work together for the benefit of our shared interests” (Россия всегда готова подставить плечо братскому армянскому народу, вместе работать на благо общих интересов/Rossiia vsegda gotova podstavit’ plecho bratskomu armiianskomu narodu, vmeste rabotat’ na blago obshchikh interesov) (Rudenko 2021), or Russia “has always supported our Armenian friends in ensuring the security of the Armenian people” (и поддерживала наших армянских друзей в обеспечении безопасности армянского народа/i podderzhivala nashikh armjanskh druzey v obespechenii bezopasnosti armjanskoho naroda) (Putin 2022). However, they also recognized that they find themselves in a rather difficult position referring to the fact that at that moment Russia was already embroiled in the Ukrainian battlefield (Putin 2022). </w:t>
      </w:r>
    </w:p>
    <w:p w14:paraId="1EDE1265" w14:textId="77777777" w:rsidR="00300A40" w:rsidRDefault="00271D80" w:rsidP="00300A40">
      <w:pPr>
        <w:pStyle w:val="Paragrafoelenco"/>
        <w:spacing w:before="176"/>
        <w:ind w:left="283" w:right="420" w:firstLine="360"/>
        <w:rPr>
          <w:szCs w:val="24"/>
          <w:lang w:eastAsia="it-IT"/>
        </w:rPr>
      </w:pPr>
      <w:r w:rsidRPr="00300A40">
        <w:rPr>
          <w:szCs w:val="24"/>
          <w:lang w:eastAsia="it-IT"/>
        </w:rPr>
        <w:t>On the other hand, particularly within semi-official discourse, growing frustration and anger towards the Armenian government emerged. Some actors described the political climate in Armenia as characterized by "deep hopeless apathy" (глубокая безнадега /glubokaya beznadega) (Pegov 2021) and criticized Pashinyan for failing to “adequately answer even now despite the fact that he (and his government) should have done so long ago during the Second Karabakh War” (К нему масса вопросов по поводу Второй Карабахской войны, на которые ни он лично, ни его команда до сих пор внятно не ответили/K nemu massa voprosov po povodu Vtoroy Karabakhskoy voyny, na kotorye ni on litsno, ni ego komanda do six por vnyatno ne otvetili) (Pegov 2021) and for “misleading people about Russia's true role in stopping the bloody 44-day war” (людей вводят в заблуждение относительно истинной роли России в остановке кровопролитной 44-дневной войны/Lyudey vvodjat v zabljuzhdenie otnositel'no istinnoy roli Rossii v ostanovke krovoprolyitnoy 44-dnevnoy voyny/ Lyudey vvodjat v zabljuzhdenie otnositel'no istinnoy roli Rossii v ostanovke krovoprolyitnoy 44-dnevnoy voyny) (Abrahamyan 2021).</w:t>
      </w:r>
    </w:p>
    <w:p w14:paraId="7D198A48"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In this context, Russian actors in the semi-official discourse portrayed the coward as an individual who did not recognize the moral authority of the hero-protector, failed to take responsibility for protecting the victim through their own efforts, and instead sought to place the blame on the hero-protector. This line of reasoning was exemplified by statements such as “if the Armenian government knows of countries and partners who want and can help at this critical moment for our country, and yet does not turn to them—that is, sorry, a crime against its own people” (Если правительство Армении знает страны и партнёров, которые хотят и могут помочь в этот судьбоносный момент нашей стране и не обращается к ним – то это, извините, преступление перед своим народом/Esli pravitel'stvo Armenii znaet strany i partnyorov, kotoryye khotyat i mogut pomoch' v etot sud'bo-nosnyy moment nashey strane i ne obrashchaysya k nim – to eto, izvinite, prestupleniye pered svoim narodom) (Abrahamyan 2021).  </w:t>
      </w:r>
    </w:p>
    <w:p w14:paraId="57290988" w14:textId="77777777" w:rsidR="00300A40" w:rsidRDefault="00271D80" w:rsidP="00300A40">
      <w:pPr>
        <w:pStyle w:val="Paragrafoelenco"/>
        <w:spacing w:before="176"/>
        <w:ind w:left="283" w:right="420" w:firstLine="360"/>
        <w:rPr>
          <w:szCs w:val="24"/>
          <w:lang w:eastAsia="it-IT"/>
        </w:rPr>
      </w:pPr>
      <w:r w:rsidRPr="00300A40">
        <w:rPr>
          <w:szCs w:val="24"/>
          <w:lang w:eastAsia="it-IT"/>
        </w:rPr>
        <w:t>In contrast to the initial critical juncture, this period was marked by significant severity and the use of anger-driven language, with numerous Russian figures commenting on the Armenian government's loss of Nagorno-Karabakh. Indicative of this were expressions such as “cut out their dirty tongue” (вырежьте себе грязный язык/vyrezh'te sebe gryaznyy yazyk) were used to refer to Pashinyan’s supporters (Simonyan 2020). The Armenian prime minister was labeled a “national traitor” (национальный предатель/natsional'nyy predatel') and asserted that Russia “has the full moral right to spit on [them] and grind [them] into the dust” (Россия имеет полное моральное право плюнуть на вас и растереть/Rossiya imeet polnoe moral'noe pravo pl’unut' na vas i rasteret) (Simonyan 2020). These expressions indicate that, during the Nagorno-Karabakh conflict, Russian actors ascribed to their country an aura of moral superiority, which is central to the politics of deference.</w:t>
      </w:r>
    </w:p>
    <w:p w14:paraId="3941C60A"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 persistence of official discourse, in contrast to semi-official discourse, in upholding its characteristic hero-protector roles without emphasizing the role of the coward was contingent upon the perception that Armenian politicians were still exhibiting deference to Russia at that time. Russian officials emphasized that Armenian authorities “expressed gratitude on numerous occasions” (руководство Армении… неоднократно выражало слова благодарности/rukovodstvo Armenii… neodnorazhno vyrazhalo slova blagodarnosti). In a meeting in Sochi in November 2021, Pashinyan declared that: “it is evident that your personal role and the role of the Russian Federation in halting the war last year, and after November 9, the Russian peacekeeping forces have been deployed in Nagorno-Karabakh along the Lachin corridor. Clearly, Russian peacekeepers and the Russian Federation play a key role in stabilizing the situation in Nagorno-Karabakh and the region.” On the sidelines of the 2022 Saint Petersburg International Economic Forum, Vahagn Khachaturyan, the fifth and current president of Armenia at the time of this writing, stated: “I believe the Armenian people appreciate your efforts in settling the Nagorno-Karabakh conflict. I can assure you that what you did during the hostilities, your efforts, which stopped the war. I am not the only person who appreciates that. I know that the Armenian people also appreciate it (President of Russia 2022). </w:t>
      </w:r>
    </w:p>
    <w:p w14:paraId="15FB0389"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Conversely, semi-official actors displayed a more organized and deeply ingrained anxiety regarding the acknowledgment of the hero-protector role, again accompanied by frequent references to the past. For example, suggestions that Armenian authorities “read Narekatsi before bed” (почитайте на ночь Нарекаци/pochitajte na noch’ Narekatsi) should be interpreted as an invitation to regain lost moral clarity and reestablish an emotional relationship of deference toward Russia (Simonyan 2022). Grigor Narekatsi, a revered medieval Armenian monk and poet, authored the Book of Lamentations and is buried at Narek Monastery in the Van region, now Eastern Turkey. However, the Armenian Genocide during the First World War inflicted massive suffering and displacement on the Armenian people and sought to erase their cultural heritage by destroying many historic churches and monasteries in Turkey, including Narek Monastery (Adalyan 2010, 94). Recalling the Armenian suffering inflicted by the Ottoman Empire thus serves to emphasize how, regardless of the cowardice of the Armenian government, Russia is guided by benevolence and “will help again” (Поможет и в этот раз/Pomozhet i v etot raz) (Simonyan 2022). This combination of moral outrage and magnanimous restraint dramatizes the protector’s emotional stance: offended honor that nonetheless chooses to forgive.  </w:t>
      </w:r>
    </w:p>
    <w:p w14:paraId="4A20A1F0" w14:textId="225779E2" w:rsidR="00532DD4" w:rsidRPr="00E24034" w:rsidRDefault="00532DD4" w:rsidP="00AC5A4C">
      <w:pPr>
        <w:pStyle w:val="Titolo2"/>
        <w:ind w:firstLine="283"/>
      </w:pPr>
      <w:bookmarkStart w:id="78" w:name="_Toc215742688"/>
      <w:r>
        <w:t xml:space="preserve">6.3. Third </w:t>
      </w:r>
      <w:r w:rsidR="00031E6D">
        <w:t>P</w:t>
      </w:r>
      <w:r>
        <w:t>eriod (2023-2024)</w:t>
      </w:r>
      <w:bookmarkEnd w:id="78"/>
    </w:p>
    <w:p w14:paraId="50BDF4FE" w14:textId="77777777" w:rsidR="00300A40" w:rsidRDefault="00271D80" w:rsidP="00300A40">
      <w:pPr>
        <w:pStyle w:val="Paragrafoelenco"/>
        <w:spacing w:before="176"/>
        <w:ind w:left="283" w:right="420" w:firstLine="360"/>
        <w:rPr>
          <w:szCs w:val="24"/>
          <w:lang w:eastAsia="it-IT"/>
        </w:rPr>
      </w:pPr>
      <w:r w:rsidRPr="00300A40">
        <w:rPr>
          <w:szCs w:val="24"/>
          <w:lang w:eastAsia="it-IT"/>
        </w:rPr>
        <w:t>During this final critical juncture, Armenia increasingly questioned Russia's role as a hero-protector. The September 2023 events leading to the collapse of the Nagorno-Karabakh republic, amid the peacekeepers' inaction, represented a considerable setback to the Russian narrative framework. As we already know, Pashinyan described reliance on Russia for security as a strategic mistake. Surveys revealed growing skepticism among the Armenian public regarding the Kremlin as a security partner (IRI 2023). This sentiment was further reflected in Armenia’s efforts to withdraw from the CSTO and to reduce the Russian military presence on its territory (De Waal 2024). In May 2024, Prime Minister Pashinyan implicitly accused Russia of supporting Azerbaijan’s preparations for the 2020 conflict.</w:t>
      </w:r>
    </w:p>
    <w:p w14:paraId="7E141D55"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To grasp this dynamic in detail, it is important to recognize that, since mid-2023, Armenia’s Prime Minister Nikol Pashinyan began advocating a new political project for the nation's future that significantly diverges from the long-standing perspectives guiding its politics since gaining independence in 1991. At the core of this approach is the notion that the Armenian population needs to differentiate between the current state known as the “Real Armenia” and the “Historical Armenia,” realizing that the success of the former depends on moving beyond sentimental ties to the latter. Pashinyan emphasizes that, particularly after the loss of Nagorno-Karabakh in September 2023, these two ideas have not only become incompatible but are often at odds with each other (Hetq 2024; Zanatta 2025).  </w:t>
      </w:r>
    </w:p>
    <w:p w14:paraId="5C9B8B8C"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In April 2024, when addressing the National Assembly, he stated that holding on to the concept of Historical Armenia hampers Armenians from attaining genuine independence and keeps them reliant on “outside sponsors and saviors,” alluding to Armenia’s dependence on Russia for security assurances (Hetq 2024). Whether engaged in its war in Ukraine or distracted by other interests, we cannot definitively determine the exact reason why Russia chose not to halt Azerbaijan’s efforts to reclaim Nagorno-Karabakh. However, from my analysis, it is evident that, emotionally, this critical juncture marked a moment of deep anxiety for Russia, as its policy of deference ultimately led to the loss of the stability that had been maintained through Armenia’s recognition. </w:t>
      </w:r>
    </w:p>
    <w:p w14:paraId="4AE91AF3" w14:textId="77777777" w:rsidR="00300A40" w:rsidRDefault="00271D80" w:rsidP="00300A40">
      <w:pPr>
        <w:pStyle w:val="Paragrafoelenco"/>
        <w:spacing w:before="176"/>
        <w:ind w:left="283" w:right="420" w:firstLine="360"/>
        <w:rPr>
          <w:szCs w:val="24"/>
          <w:lang w:eastAsia="it-IT"/>
        </w:rPr>
      </w:pPr>
      <w:r w:rsidRPr="00300A40">
        <w:rPr>
          <w:szCs w:val="24"/>
          <w:lang w:eastAsia="it-IT"/>
        </w:rPr>
        <w:t>This ontological wound triggered a discursive counter-movement in which both official and semi-official Russian actors intensified the romanticization of the hero-protector and the vilification of the coward, i.e., the Armenian government. In particular, while Russian officials continued to portray the country as a hero-protector, they openly depicted the Armenian government as a coward who betrayed its historical ally. Although this tendency was already present in semi-official discourse during the previous critical juncture, it only appeared in official statements starting in 2023.</w:t>
      </w:r>
    </w:p>
    <w:p w14:paraId="006A9E90"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 official discourse characterized Armenia's reevaluation of its relationship with Russia as a moral betrayal, employing emotionally charged rhetoric that incited anger and frustration towards the Armenian government. This stance was bolstered by assertions like “individuals representing a nation must be accountable for their statements” (Люди, которые представляют страну, должны отвечать за свои слова/Lyudi, kotorye predstavlyayut stranu, dolzhny otvechat’ za svoi slova) (Zakharova 2023), which characterized Yerevan’s critique as irresponsible and dishonorable. </w:t>
      </w:r>
    </w:p>
    <w:p w14:paraId="300959DB"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 emotional tension was reflected in the rhetorical frustrations directed at the Armenian government, which was accused of betraying the collective memory shared by the two nations, as illustrated by remarks like, “Do they not know how many Armenian citizens were saved thanks to Moscow’s actions? Is this not so? Do they not know this in Armenia?” </w:t>
      </w:r>
      <w:r w:rsidRPr="00300A40">
        <w:rPr>
          <w:szCs w:val="24"/>
          <w:lang w:val="ru-RU" w:eastAsia="it-IT"/>
        </w:rPr>
        <w:t>(Неужели они не знают, какое количество граждан Армении удалось спасти в том числе благодаря действиям Москвы? Это не так? Об этом не знают в Армении?/</w:t>
      </w:r>
      <w:r w:rsidRPr="00300A40">
        <w:rPr>
          <w:szCs w:val="24"/>
          <w:lang w:eastAsia="it-IT"/>
        </w:rPr>
        <w:t>Neuzheli</w:t>
      </w:r>
      <w:r w:rsidRPr="00300A40">
        <w:rPr>
          <w:szCs w:val="24"/>
          <w:lang w:val="ru-RU" w:eastAsia="it-IT"/>
        </w:rPr>
        <w:t xml:space="preserve"> </w:t>
      </w:r>
      <w:r w:rsidRPr="00300A40">
        <w:rPr>
          <w:szCs w:val="24"/>
          <w:lang w:eastAsia="it-IT"/>
        </w:rPr>
        <w:t>oni</w:t>
      </w:r>
      <w:r w:rsidRPr="00300A40">
        <w:rPr>
          <w:szCs w:val="24"/>
          <w:lang w:val="ru-RU" w:eastAsia="it-IT"/>
        </w:rPr>
        <w:t xml:space="preserve"> </w:t>
      </w:r>
      <w:r w:rsidRPr="00300A40">
        <w:rPr>
          <w:szCs w:val="24"/>
          <w:lang w:eastAsia="it-IT"/>
        </w:rPr>
        <w:t>ne</w:t>
      </w:r>
      <w:r w:rsidRPr="00300A40">
        <w:rPr>
          <w:szCs w:val="24"/>
          <w:lang w:val="ru-RU" w:eastAsia="it-IT"/>
        </w:rPr>
        <w:t xml:space="preserve"> </w:t>
      </w:r>
      <w:r w:rsidRPr="00300A40">
        <w:rPr>
          <w:szCs w:val="24"/>
          <w:lang w:eastAsia="it-IT"/>
        </w:rPr>
        <w:t>znayut</w:t>
      </w:r>
      <w:r w:rsidRPr="00300A40">
        <w:rPr>
          <w:szCs w:val="24"/>
          <w:lang w:val="ru-RU" w:eastAsia="it-IT"/>
        </w:rPr>
        <w:t xml:space="preserve">, </w:t>
      </w:r>
      <w:r w:rsidRPr="00300A40">
        <w:rPr>
          <w:szCs w:val="24"/>
          <w:lang w:eastAsia="it-IT"/>
        </w:rPr>
        <w:t>kakoye</w:t>
      </w:r>
      <w:r w:rsidRPr="00300A40">
        <w:rPr>
          <w:szCs w:val="24"/>
          <w:lang w:val="ru-RU" w:eastAsia="it-IT"/>
        </w:rPr>
        <w:t xml:space="preserve"> </w:t>
      </w:r>
      <w:r w:rsidRPr="00300A40">
        <w:rPr>
          <w:szCs w:val="24"/>
          <w:lang w:eastAsia="it-IT"/>
        </w:rPr>
        <w:t>kolichestvo</w:t>
      </w:r>
      <w:r w:rsidRPr="00300A40">
        <w:rPr>
          <w:szCs w:val="24"/>
          <w:lang w:val="ru-RU" w:eastAsia="it-IT"/>
        </w:rPr>
        <w:t xml:space="preserve"> </w:t>
      </w:r>
      <w:r w:rsidRPr="00300A40">
        <w:rPr>
          <w:szCs w:val="24"/>
          <w:lang w:eastAsia="it-IT"/>
        </w:rPr>
        <w:t>grazhdan</w:t>
      </w:r>
      <w:r w:rsidRPr="00300A40">
        <w:rPr>
          <w:szCs w:val="24"/>
          <w:lang w:val="ru-RU" w:eastAsia="it-IT"/>
        </w:rPr>
        <w:t xml:space="preserve"> </w:t>
      </w:r>
      <w:r w:rsidRPr="00300A40">
        <w:rPr>
          <w:szCs w:val="24"/>
          <w:lang w:eastAsia="it-IT"/>
        </w:rPr>
        <w:t>Armenii</w:t>
      </w:r>
      <w:r w:rsidRPr="00300A40">
        <w:rPr>
          <w:szCs w:val="24"/>
          <w:lang w:val="ru-RU" w:eastAsia="it-IT"/>
        </w:rPr>
        <w:t xml:space="preserve"> </w:t>
      </w:r>
      <w:r w:rsidRPr="00300A40">
        <w:rPr>
          <w:szCs w:val="24"/>
          <w:lang w:eastAsia="it-IT"/>
        </w:rPr>
        <w:t>udalos</w:t>
      </w:r>
      <w:r w:rsidRPr="00300A40">
        <w:rPr>
          <w:szCs w:val="24"/>
          <w:lang w:val="ru-RU" w:eastAsia="it-IT"/>
        </w:rPr>
        <w:t xml:space="preserve">’ </w:t>
      </w:r>
      <w:r w:rsidRPr="00300A40">
        <w:rPr>
          <w:szCs w:val="24"/>
          <w:lang w:eastAsia="it-IT"/>
        </w:rPr>
        <w:t>spasti</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tom</w:t>
      </w:r>
      <w:r w:rsidRPr="00300A40">
        <w:rPr>
          <w:szCs w:val="24"/>
          <w:lang w:val="ru-RU" w:eastAsia="it-IT"/>
        </w:rPr>
        <w:t xml:space="preserve"> </w:t>
      </w:r>
      <w:r w:rsidRPr="00300A40">
        <w:rPr>
          <w:szCs w:val="24"/>
          <w:lang w:eastAsia="it-IT"/>
        </w:rPr>
        <w:t>chisle</w:t>
      </w:r>
      <w:r w:rsidRPr="00300A40">
        <w:rPr>
          <w:szCs w:val="24"/>
          <w:lang w:val="ru-RU" w:eastAsia="it-IT"/>
        </w:rPr>
        <w:t xml:space="preserve"> </w:t>
      </w:r>
      <w:r w:rsidRPr="00300A40">
        <w:rPr>
          <w:szCs w:val="24"/>
          <w:lang w:eastAsia="it-IT"/>
        </w:rPr>
        <w:t>blagodarya</w:t>
      </w:r>
      <w:r w:rsidRPr="00300A40">
        <w:rPr>
          <w:szCs w:val="24"/>
          <w:lang w:val="ru-RU" w:eastAsia="it-IT"/>
        </w:rPr>
        <w:t xml:space="preserve"> </w:t>
      </w:r>
      <w:r w:rsidRPr="00300A40">
        <w:rPr>
          <w:szCs w:val="24"/>
          <w:lang w:eastAsia="it-IT"/>
        </w:rPr>
        <w:t>deystviyam</w:t>
      </w:r>
      <w:r w:rsidRPr="00300A40">
        <w:rPr>
          <w:szCs w:val="24"/>
          <w:lang w:val="ru-RU" w:eastAsia="it-IT"/>
        </w:rPr>
        <w:t xml:space="preserve"> </w:t>
      </w:r>
      <w:r w:rsidRPr="00300A40">
        <w:rPr>
          <w:szCs w:val="24"/>
          <w:lang w:eastAsia="it-IT"/>
        </w:rPr>
        <w:t>Moskvy</w:t>
      </w:r>
      <w:r w:rsidRPr="00300A40">
        <w:rPr>
          <w:szCs w:val="24"/>
          <w:lang w:val="ru-RU" w:eastAsia="it-IT"/>
        </w:rPr>
        <w:t xml:space="preserve">? </w:t>
      </w:r>
      <w:r w:rsidRPr="00300A40">
        <w:rPr>
          <w:szCs w:val="24"/>
          <w:lang w:eastAsia="it-IT"/>
        </w:rPr>
        <w:t xml:space="preserve">Eto ne tak? Ob etom ne znayut v Armenii?) (Zakharova 2023), or “Why is this now consigned to oblivion?” (Так почему же это сейчас предается забвению?/Tak pochemu zhe eto seychas predayetsya zabveniyu?) (Zakharova 2023), or as “They want to rewrite history? It will not work.” </w:t>
      </w:r>
      <w:r w:rsidRPr="00300A40">
        <w:rPr>
          <w:szCs w:val="24"/>
          <w:lang w:val="ru-RU" w:eastAsia="it-IT"/>
        </w:rPr>
        <w:t>(Они хотят переписать историю? Не выйдет/</w:t>
      </w:r>
      <w:r w:rsidRPr="00300A40">
        <w:rPr>
          <w:szCs w:val="24"/>
          <w:lang w:eastAsia="it-IT"/>
        </w:rPr>
        <w:t>Oni</w:t>
      </w:r>
      <w:r w:rsidRPr="00300A40">
        <w:rPr>
          <w:szCs w:val="24"/>
          <w:lang w:val="ru-RU" w:eastAsia="it-IT"/>
        </w:rPr>
        <w:t xml:space="preserve"> </w:t>
      </w:r>
      <w:r w:rsidRPr="00300A40">
        <w:rPr>
          <w:szCs w:val="24"/>
          <w:lang w:eastAsia="it-IT"/>
        </w:rPr>
        <w:t>hotyat</w:t>
      </w:r>
      <w:r w:rsidRPr="00300A40">
        <w:rPr>
          <w:szCs w:val="24"/>
          <w:lang w:val="ru-RU" w:eastAsia="it-IT"/>
        </w:rPr>
        <w:t xml:space="preserve"> </w:t>
      </w:r>
      <w:r w:rsidRPr="00300A40">
        <w:rPr>
          <w:szCs w:val="24"/>
          <w:lang w:eastAsia="it-IT"/>
        </w:rPr>
        <w:t>perepisat</w:t>
      </w:r>
      <w:r w:rsidRPr="00300A40">
        <w:rPr>
          <w:szCs w:val="24"/>
          <w:lang w:val="ru-RU" w:eastAsia="it-IT"/>
        </w:rPr>
        <w:t xml:space="preserve">’ </w:t>
      </w:r>
      <w:r w:rsidRPr="00300A40">
        <w:rPr>
          <w:szCs w:val="24"/>
          <w:lang w:eastAsia="it-IT"/>
        </w:rPr>
        <w:t>istoriyu</w:t>
      </w:r>
      <w:r w:rsidRPr="00300A40">
        <w:rPr>
          <w:szCs w:val="24"/>
          <w:lang w:val="ru-RU" w:eastAsia="it-IT"/>
        </w:rPr>
        <w:t xml:space="preserve">? </w:t>
      </w:r>
      <w:r w:rsidRPr="00300A40">
        <w:rPr>
          <w:szCs w:val="24"/>
          <w:lang w:eastAsia="it-IT"/>
        </w:rPr>
        <w:t xml:space="preserve">Ne vyĭdet) (Zakharova 2023).  </w:t>
      </w:r>
    </w:p>
    <w:p w14:paraId="44CE4E5F" w14:textId="77777777" w:rsidR="00300A40" w:rsidRDefault="00271D80" w:rsidP="00300A40">
      <w:pPr>
        <w:pStyle w:val="Paragrafoelenco"/>
        <w:spacing w:before="176"/>
        <w:ind w:left="283" w:right="420" w:firstLine="360"/>
        <w:rPr>
          <w:szCs w:val="24"/>
          <w:lang w:eastAsia="it-IT"/>
        </w:rPr>
      </w:pPr>
      <w:r w:rsidRPr="00300A40">
        <w:rPr>
          <w:szCs w:val="24"/>
          <w:lang w:eastAsia="it-IT"/>
        </w:rPr>
        <w:t>Once again, Russian actors distinguished between the Armenian people, who still remained the victim and “are absolutely not guilty of Pashinyan’s betrayal. They</w:t>
      </w:r>
      <w:r w:rsidRPr="00300A40">
        <w:rPr>
          <w:szCs w:val="24"/>
          <w:lang w:val="ru-RU" w:eastAsia="it-IT"/>
        </w:rPr>
        <w:t xml:space="preserve"> </w:t>
      </w:r>
      <w:r w:rsidRPr="00300A40">
        <w:rPr>
          <w:szCs w:val="24"/>
          <w:lang w:eastAsia="it-IT"/>
        </w:rPr>
        <w:t>themselves</w:t>
      </w:r>
      <w:r w:rsidRPr="00300A40">
        <w:rPr>
          <w:szCs w:val="24"/>
          <w:lang w:val="ru-RU" w:eastAsia="it-IT"/>
        </w:rPr>
        <w:t xml:space="preserve"> </w:t>
      </w:r>
      <w:r w:rsidRPr="00300A40">
        <w:rPr>
          <w:szCs w:val="24"/>
          <w:lang w:eastAsia="it-IT"/>
        </w:rPr>
        <w:t>have</w:t>
      </w:r>
      <w:r w:rsidRPr="00300A40">
        <w:rPr>
          <w:szCs w:val="24"/>
          <w:lang w:val="ru-RU" w:eastAsia="it-IT"/>
        </w:rPr>
        <w:t xml:space="preserve"> </w:t>
      </w:r>
      <w:r w:rsidRPr="00300A40">
        <w:rPr>
          <w:szCs w:val="24"/>
          <w:lang w:eastAsia="it-IT"/>
        </w:rPr>
        <w:t>been</w:t>
      </w:r>
      <w:r w:rsidRPr="00300A40">
        <w:rPr>
          <w:szCs w:val="24"/>
          <w:lang w:val="ru-RU" w:eastAsia="it-IT"/>
        </w:rPr>
        <w:t xml:space="preserve"> </w:t>
      </w:r>
      <w:r w:rsidRPr="00300A40">
        <w:rPr>
          <w:szCs w:val="24"/>
          <w:lang w:eastAsia="it-IT"/>
        </w:rPr>
        <w:t>betrayed</w:t>
      </w:r>
      <w:r w:rsidRPr="00300A40">
        <w:rPr>
          <w:szCs w:val="24"/>
          <w:lang w:val="ru-RU" w:eastAsia="it-IT"/>
        </w:rPr>
        <w:t xml:space="preserve">” (в предательстве Пашиняна совершенно не виноваты. </w:t>
      </w:r>
      <w:r w:rsidRPr="00300A40">
        <w:rPr>
          <w:szCs w:val="24"/>
          <w:lang w:eastAsia="it-IT"/>
        </w:rPr>
        <w:t xml:space="preserve">Они сами преданы/v predatel'stve Pashinyana sovershenno ne vinovaty. Oni sami predany) and the Armenian government (Zatulin 2023), affirming that the Armenian people "know their Armenia" and the "role of our country in the fate of the Armenian people" (народ хорошо знает свою Армению... и о роли нашей страны в судьбе армянского народа/narod khorosho znayet svoyu Armeniyu... i o roli nashey strany v sud’be armyanskogo naroda).   </w:t>
      </w:r>
    </w:p>
    <w:p w14:paraId="7CC50655"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A controversy surrounding an Armenian eighth-grade history textbook in August 2024 further exemplified the importance of the memory factor in Russian ontological security. One chapter, titled “The Forceful Annexation of Eastern Armenia by Russia,” discussed events from the eighteenth and nineteenth centuries that had been thoroughly analyzed in earlier chapters, labeling them as “occupation” rather than the word “reunification” (воссоединение/vossoedinienie), which had been commonly employed in both academic and non-academic contexts until that point. Despite the edit being altered a few days later in response to the protests from the Russian Minister of Foreign Affairs, this incident illustrated that, irrespective of Russia's physical capacity to assist Armenia, the hero-protector narrative remained essential for Russian actors. </w:t>
      </w:r>
    </w:p>
    <w:p w14:paraId="49E6C053"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Russian official statements condemned the chapter on the “forceful annexation of Eastern Armenia” as “a provocative title” (провокационное название/provokatsionnoe nazvanie) and accused Armenian authorities of attempting to “rewrite our shared history” (переписать нашу общую историю/perepisat’ nashu obshchuyu istoriyu) (MFA 2024) and that “doubting the special role of the Russian Empire, and subsequently the Soviet Union and Russia, in shaping modern Armenia, is portrayed as contradicting well-known facts (Ставить под сомнение особую роль Российской империи, а впоследствии СССР и России в деле становления нынешней Армении означает идти против общеизвестных фактов/Stavit’ pod somnenie osobuyu rol’ Rossiyskoy imperii, a vposledstvii SSSR i Rossii v dele stanovleniya nyhesnoy Armenii oznachaet idti protiv obshcheizvestnykh faktov) (MFA 2024).  </w:t>
      </w:r>
    </w:p>
    <w:p w14:paraId="05A1D95D"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Russian officials’ commitment to contrast potential sources of ontological insecurity was highlighted by a report from the independent Russian news agency Meduza (2023), which noted that during Azerbaijan's military operation in Nagorno-Karabakh, a manual was distributed by the presidential administration to employees of state-owned and Kremlin-aligned media, outlining how to present the Nagorno-Karabakh crisis. This manual depicted the Armenian government, aided by Western allies, as the primary instigator of the current situation and portrayed Russian peacekeepers as the sole security guarantors for Karabakh Armenians. Examples of this are very emotional statements from individuals, arguing that Yerevan “merely handed Karabakh over, placing the onus for its future squarely on Russia” (Просто взял и продал, возложив ответственность за будущее Карабаха исключительно на Россию/Prosto vzyal i prodal, vozlozhiv otvetstvennost’ za budushchee Karabakha iskluchitel’no na Rossiyu) (Kots 2023) and that Pashinyan was “the destroyer of the Armenian people” (он просто губитель армянского народа/on prosto gubitel' armyanskogo naroda) (Simonyan 2023).  The coward was also described with derisive language, such as “дурь” (dur’) and “пещерный тупизм” (peshchernyi tupizm) (Bagdasarov 2023). </w:t>
      </w:r>
    </w:p>
    <w:p w14:paraId="5A655084"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It is important to emphasize that these guidelines advise media representatives to highlight the inconsistency in Pashinyan’s rhetoric regarding his stance on Nagorno-Karabakh. Although Armenia itself has never recognized the independence of Nagorno-Karabakh or its belonging to Armenia, in August 2019, Pashinyan declared that “Artsakh is Armenia, and that’s it” (Eurasianet 2019). Furthermore, in May 2020, an inauguration ceremony was held in Shusha for the leader of the unrecognized Nagorno-Karabakh Republic (Eurasianet 2019). </w:t>
      </w:r>
    </w:p>
    <w:p w14:paraId="16693F97"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These actions increased tensions with Baku. However, after the Second Karabakh War in 2020, Pashinyan’s position changed dramatically. The territorial losses and return of surrounding regions to Azerbaijan made the goal of an independent Nagorno-Karabakh increasingly unfeasible (Huseynov and Mammadova 2023). Throughout 2022, discourse continued to shift, particularly during Brussels-brokered peace talks. Following a meeting in Prague in October 2022, Aliyev and Pashinyan reaffirmed the two countries’ commitment to the principles of the UN Charter and the 1991 Almaty Declaration, emphasizing mutual recognition of each other’s territorial integrity (Huseynov &amp; Mammadova 2023). This marked a departure from earlier focus on historical claims. Aside from one exception in early 2023, Pashinyan also changed his terminology, no longer referring to the region as Artsakh, which implied independence, and now calls it Nagorno-Karabakh (Krikorian 2023). </w:t>
      </w:r>
    </w:p>
    <w:p w14:paraId="4D08E927"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Furthermore, the role of the West in this context warrants careful analysis. While it might be tempting to view the portrayal of Pashinyan as a Western puppet simply as a reflection of Russia's geopolitical confrontation with the West, the reality is more complex. The OSCE Minsk Group continued to recognize Russian mediation efforts in the Nagorno-Karabakh conflict, which remained one of the few remaining areas of cooperation between the Kremlin, the US, and France. On the contrary, it is only after the events of September 2023 that Western officials began to question Russia’s capacity to effectively protect Armenia. For instance, the President of the European Council, Charles Michel, declared in October 2023 that "Russia's failure to ensure peace and security in the enclave of Nagorno-Karabakh is a betrayal of the Armenian people" (Euronews 2023).   </w:t>
      </w:r>
    </w:p>
    <w:p w14:paraId="52EB893C"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Overall, in both the initial and this third critical juncture, Russia frequently portrayed the West as an additional "coward" within the hero-protector narrative, thereby positioning itself as the genuine guardian of Armenians, despite its own limitations in fulfilling this role and ensuring its ontological security. Within this framework, the Armenian government was depicted as cowardly, turning its geopolitical ambitions toward the West and thereby betraying the fate of the Armenian people, who were still portrayed as the genuine victims and to whom Russia continues to express emotional attachment. An example of this is the statement issued by the Russian Foreign Ministry in response to the address of Armenian Prime Minister N.V. Pashinyan and the situation in Nagorno-Karabakh in September 2023.  </w:t>
      </w:r>
    </w:p>
    <w:p w14:paraId="592A3F41" w14:textId="77777777" w:rsidR="00300A40" w:rsidRPr="00611C4F" w:rsidRDefault="00271D80" w:rsidP="00611C4F">
      <w:pPr>
        <w:pStyle w:val="Paragrafoelenco"/>
        <w:spacing w:before="176"/>
        <w:ind w:left="283" w:right="420" w:firstLine="360"/>
        <w:jc w:val="center"/>
        <w:rPr>
          <w:sz w:val="20"/>
          <w:szCs w:val="20"/>
          <w:lang w:eastAsia="it-IT"/>
        </w:rPr>
      </w:pPr>
      <w:r w:rsidRPr="00611C4F">
        <w:rPr>
          <w:sz w:val="20"/>
          <w:szCs w:val="20"/>
          <w:lang w:eastAsia="it-IT"/>
        </w:rPr>
        <w:t>“...It is an obvious attempt to shirk responsibility for failures in domestic and foreign policy, shifting the blame to Moscow. The latest statements by N.V. Pashinyan [...] inspired by the West and spurred on by official Yerevan, are not episodic, but have a systemic character... trying to destroy the multifaceted and centuries-old ties between Armenia and Russia and making the country a hostage to the West‘s geopolitical games…” (Ministry of Foreign Affairs of the Russian Federation 2023).</w:t>
      </w:r>
    </w:p>
    <w:p w14:paraId="532EB07C" w14:textId="77777777" w:rsidR="00300A40" w:rsidRDefault="00271D80" w:rsidP="00300A40">
      <w:pPr>
        <w:pStyle w:val="Paragrafoelenco"/>
        <w:spacing w:before="176"/>
        <w:ind w:left="283" w:right="420" w:firstLine="360"/>
        <w:rPr>
          <w:szCs w:val="24"/>
          <w:lang w:eastAsia="it-IT"/>
        </w:rPr>
      </w:pPr>
      <w:r w:rsidRPr="00300A40">
        <w:rPr>
          <w:szCs w:val="24"/>
          <w:lang w:eastAsia="it-IT"/>
        </w:rPr>
        <w:t>Nonetheless, particularly during this third period, it became clear that the normative framework utilized by Russia to interpret the West did not influence Russian actors' attacks on the Armenian government. The perceived undermining by Armenia of the hero-protector role within Russian collective memory and honor, specifically the politics of deference, provoked such reactions. Indicative of this are statements such as “all that remains (for Armenia” is to admit that there was no genocide, to deprive everything, to start teaching this in schools; then it only remains to say that Russia is the enemy — after 300 years, after the Russo-Persian wars, the Russo-Turkish wars, so much blood was shed by both Russians and Armenian martyrs. This is very difficult” (Остается признать, что не было геноцида, лишить всего, начать преподавать это в школах, остается еще сказать, что Россия враг, это после 300 лет, после русско-персидских войн, русско-турецких, столько крови было пролито и русскими, и армянскими мучениками, это очень тяжело/Ostaetsya priznat', chto ne bylo genotsida, lishit' vsego, nachat' prepodavat' eto v shkolakh, ostaetsya eshche skazat', chto Rossiya vrag, eto posle 300 let, posle russko-persidskikh voyn, russko-turetskikh, stol'ko krovi bylo prolito i russkimi, i armyanskimi muchenikami, eto ochen' tyazhelo) (Narochnitskaya 2024), or “the Armenian prime minister is trying to renounce the centuries-old historical ties with Russia, even though it was precisely Russia that saved a significant part of the Armenian people from extermination and preserved their statehood” (армянский премьер пытается отказаться от многовековых исторических связей с Россией, хотя именно Россия спасла значительную часть армянского народа от истребления и сохранила ему государственность/armyanskiy prem'er pytaetsya otkazat'sya ot mnogovekovykh istoricheskikh svyazey s Rossiyey, khotya imenno Rossiya spasla znachitel'nuyu chast' armyanskogo naroda ot istrebleniya i sokhranila emu gosudarstvennost').</w:t>
      </w:r>
    </w:p>
    <w:p w14:paraId="7D728FF5"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Even during this critical juncture, Russian actors did not abandon the hero-protector narrative, underscoring how deeply embedded it remains in Russia’s sense of Self. Despite facing shaming attempts by the Armenian government regarding Moscow’s capacity to protect Karabakh Armenians, Russian commentators continued to reproduce the familiar sequences of this narrative framework. For instance, if the coward refuses to seek redemption, its actions may not only allow the tragedy to continue but also risk exacerbating it. Examples include statements such as: “What will happen next? Azerbaijan's ambitions could grow. And if the government in Armenia remains led by someone who envisions the country's future without Russia, the scenario becomes quite predictable. Anti-Russian protests, pushing out the Russian military base from Gyumri, exiting the CSTO... Then what would stop Baku from trying to force a corridor into its enclave – Nakhchivan, which is currently cut off from the rest of Azerbaijan by the Syunik Province of Armenia?” </w:t>
      </w:r>
      <w:r w:rsidRPr="00300A40">
        <w:rPr>
          <w:szCs w:val="24"/>
          <w:lang w:val="ru-RU" w:eastAsia="it-IT"/>
        </w:rPr>
        <w:t xml:space="preserve">(Что будет потом? Ну, аппетиты Азербайджана, мне кажется, вполне могут вырасти, и если у власти в Армении будет оставаться человек, который свое будущее видит без России, то в принципе алгоритм известный и предсказуемый. Это русофобские митинги (они уже пошли), это процесс (я думаю, скоро его запустят) выдавливания российской военной базы из Гюмри, это выход из ОДКБ, ....ничего не остановит Баку от желания пробить свой коридор сухопутный в свой анклав, в Нахичевань, который сейчас, я напомню, отрезан от остального Азербайджана Сюникской областью Армении/ </w:t>
      </w:r>
      <w:r w:rsidRPr="00300A40">
        <w:rPr>
          <w:szCs w:val="24"/>
          <w:lang w:eastAsia="it-IT"/>
        </w:rPr>
        <w:t>Chto</w:t>
      </w:r>
      <w:r w:rsidRPr="00300A40">
        <w:rPr>
          <w:szCs w:val="24"/>
          <w:lang w:val="ru-RU" w:eastAsia="it-IT"/>
        </w:rPr>
        <w:t xml:space="preserve"> </w:t>
      </w:r>
      <w:r w:rsidRPr="00300A40">
        <w:rPr>
          <w:szCs w:val="24"/>
          <w:lang w:eastAsia="it-IT"/>
        </w:rPr>
        <w:t>budet</w:t>
      </w:r>
      <w:r w:rsidRPr="00300A40">
        <w:rPr>
          <w:szCs w:val="24"/>
          <w:lang w:val="ru-RU" w:eastAsia="it-IT"/>
        </w:rPr>
        <w:t xml:space="preserve"> </w:t>
      </w:r>
      <w:r w:rsidRPr="00300A40">
        <w:rPr>
          <w:szCs w:val="24"/>
          <w:lang w:eastAsia="it-IT"/>
        </w:rPr>
        <w:t>potom</w:t>
      </w:r>
      <w:r w:rsidRPr="00300A40">
        <w:rPr>
          <w:szCs w:val="24"/>
          <w:lang w:val="ru-RU" w:eastAsia="it-IT"/>
        </w:rPr>
        <w:t xml:space="preserve">? </w:t>
      </w:r>
      <w:r w:rsidRPr="00300A40">
        <w:rPr>
          <w:szCs w:val="24"/>
          <w:lang w:eastAsia="it-IT"/>
        </w:rPr>
        <w:t>Nu</w:t>
      </w:r>
      <w:r w:rsidRPr="00300A40">
        <w:rPr>
          <w:szCs w:val="24"/>
          <w:lang w:val="ru-RU" w:eastAsia="it-IT"/>
        </w:rPr>
        <w:t xml:space="preserve">, </w:t>
      </w:r>
      <w:r w:rsidRPr="00300A40">
        <w:rPr>
          <w:szCs w:val="24"/>
          <w:lang w:eastAsia="it-IT"/>
        </w:rPr>
        <w:t>appetity</w:t>
      </w:r>
      <w:r w:rsidRPr="00300A40">
        <w:rPr>
          <w:szCs w:val="24"/>
          <w:lang w:val="ru-RU" w:eastAsia="it-IT"/>
        </w:rPr>
        <w:t xml:space="preserve"> </w:t>
      </w:r>
      <w:r w:rsidRPr="00300A40">
        <w:rPr>
          <w:szCs w:val="24"/>
          <w:lang w:eastAsia="it-IT"/>
        </w:rPr>
        <w:t>Azerbaydzhana</w:t>
      </w:r>
      <w:r w:rsidRPr="00300A40">
        <w:rPr>
          <w:szCs w:val="24"/>
          <w:lang w:val="ru-RU" w:eastAsia="it-IT"/>
        </w:rPr>
        <w:t xml:space="preserve">, </w:t>
      </w:r>
      <w:r w:rsidRPr="00300A40">
        <w:rPr>
          <w:szCs w:val="24"/>
          <w:lang w:eastAsia="it-IT"/>
        </w:rPr>
        <w:t>mne</w:t>
      </w:r>
      <w:r w:rsidRPr="00300A40">
        <w:rPr>
          <w:szCs w:val="24"/>
          <w:lang w:val="ru-RU" w:eastAsia="it-IT"/>
        </w:rPr>
        <w:t xml:space="preserve"> </w:t>
      </w:r>
      <w:r w:rsidRPr="00300A40">
        <w:rPr>
          <w:szCs w:val="24"/>
          <w:lang w:eastAsia="it-IT"/>
        </w:rPr>
        <w:t>kazhetsya</w:t>
      </w:r>
      <w:r w:rsidRPr="00300A40">
        <w:rPr>
          <w:szCs w:val="24"/>
          <w:lang w:val="ru-RU" w:eastAsia="it-IT"/>
        </w:rPr>
        <w:t xml:space="preserve">, </w:t>
      </w:r>
      <w:r w:rsidRPr="00300A40">
        <w:rPr>
          <w:szCs w:val="24"/>
          <w:lang w:eastAsia="it-IT"/>
        </w:rPr>
        <w:t>vpolne</w:t>
      </w:r>
      <w:r w:rsidRPr="00300A40">
        <w:rPr>
          <w:szCs w:val="24"/>
          <w:lang w:val="ru-RU" w:eastAsia="it-IT"/>
        </w:rPr>
        <w:t xml:space="preserve"> </w:t>
      </w:r>
      <w:r w:rsidRPr="00300A40">
        <w:rPr>
          <w:szCs w:val="24"/>
          <w:lang w:eastAsia="it-IT"/>
        </w:rPr>
        <w:t>mogut</w:t>
      </w:r>
      <w:r w:rsidRPr="00300A40">
        <w:rPr>
          <w:szCs w:val="24"/>
          <w:lang w:val="ru-RU" w:eastAsia="it-IT"/>
        </w:rPr>
        <w:t xml:space="preserve"> </w:t>
      </w:r>
      <w:r w:rsidRPr="00300A40">
        <w:rPr>
          <w:szCs w:val="24"/>
          <w:lang w:eastAsia="it-IT"/>
        </w:rPr>
        <w:t>vyrasti</w:t>
      </w:r>
      <w:r w:rsidRPr="00300A40">
        <w:rPr>
          <w:szCs w:val="24"/>
          <w:lang w:val="ru-RU" w:eastAsia="it-IT"/>
        </w:rPr>
        <w:t xml:space="preserve">, </w:t>
      </w:r>
      <w:r w:rsidRPr="00300A40">
        <w:rPr>
          <w:szCs w:val="24"/>
          <w:lang w:eastAsia="it-IT"/>
        </w:rPr>
        <w:t>i</w:t>
      </w:r>
      <w:r w:rsidRPr="00300A40">
        <w:rPr>
          <w:szCs w:val="24"/>
          <w:lang w:val="ru-RU" w:eastAsia="it-IT"/>
        </w:rPr>
        <w:t xml:space="preserve"> </w:t>
      </w:r>
      <w:r w:rsidRPr="00300A40">
        <w:rPr>
          <w:szCs w:val="24"/>
          <w:lang w:eastAsia="it-IT"/>
        </w:rPr>
        <w:t>esli</w:t>
      </w:r>
      <w:r w:rsidRPr="00300A40">
        <w:rPr>
          <w:szCs w:val="24"/>
          <w:lang w:val="ru-RU" w:eastAsia="it-IT"/>
        </w:rPr>
        <w:t xml:space="preserve"> </w:t>
      </w:r>
      <w:r w:rsidRPr="00300A40">
        <w:rPr>
          <w:szCs w:val="24"/>
          <w:lang w:eastAsia="it-IT"/>
        </w:rPr>
        <w:t>u</w:t>
      </w:r>
      <w:r w:rsidRPr="00300A40">
        <w:rPr>
          <w:szCs w:val="24"/>
          <w:lang w:val="ru-RU" w:eastAsia="it-IT"/>
        </w:rPr>
        <w:t xml:space="preserve"> </w:t>
      </w:r>
      <w:r w:rsidRPr="00300A40">
        <w:rPr>
          <w:szCs w:val="24"/>
          <w:lang w:eastAsia="it-IT"/>
        </w:rPr>
        <w:t>vlasti</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Armenii</w:t>
      </w:r>
      <w:r w:rsidRPr="00300A40">
        <w:rPr>
          <w:szCs w:val="24"/>
          <w:lang w:val="ru-RU" w:eastAsia="it-IT"/>
        </w:rPr>
        <w:t xml:space="preserve"> </w:t>
      </w:r>
      <w:r w:rsidRPr="00300A40">
        <w:rPr>
          <w:szCs w:val="24"/>
          <w:lang w:eastAsia="it-IT"/>
        </w:rPr>
        <w:t>budet</w:t>
      </w:r>
      <w:r w:rsidRPr="00300A40">
        <w:rPr>
          <w:szCs w:val="24"/>
          <w:lang w:val="ru-RU" w:eastAsia="it-IT"/>
        </w:rPr>
        <w:t xml:space="preserve"> </w:t>
      </w:r>
      <w:r w:rsidRPr="00300A40">
        <w:rPr>
          <w:szCs w:val="24"/>
          <w:lang w:eastAsia="it-IT"/>
        </w:rPr>
        <w:t>ostavat</w:t>
      </w:r>
      <w:r w:rsidRPr="00300A40">
        <w:rPr>
          <w:szCs w:val="24"/>
          <w:lang w:val="ru-RU" w:eastAsia="it-IT"/>
        </w:rPr>
        <w:t>'</w:t>
      </w:r>
      <w:r w:rsidRPr="00300A40">
        <w:rPr>
          <w:szCs w:val="24"/>
          <w:lang w:eastAsia="it-IT"/>
        </w:rPr>
        <w:t>sya</w:t>
      </w:r>
      <w:r w:rsidRPr="00300A40">
        <w:rPr>
          <w:szCs w:val="24"/>
          <w:lang w:val="ru-RU" w:eastAsia="it-IT"/>
        </w:rPr>
        <w:t xml:space="preserve"> </w:t>
      </w:r>
      <w:r w:rsidRPr="00300A40">
        <w:rPr>
          <w:szCs w:val="24"/>
          <w:lang w:eastAsia="it-IT"/>
        </w:rPr>
        <w:t>chelovek</w:t>
      </w:r>
      <w:r w:rsidRPr="00300A40">
        <w:rPr>
          <w:szCs w:val="24"/>
          <w:lang w:val="ru-RU" w:eastAsia="it-IT"/>
        </w:rPr>
        <w:t xml:space="preserve">, </w:t>
      </w:r>
      <w:r w:rsidRPr="00300A40">
        <w:rPr>
          <w:szCs w:val="24"/>
          <w:lang w:eastAsia="it-IT"/>
        </w:rPr>
        <w:t>kotoryy</w:t>
      </w:r>
      <w:r w:rsidRPr="00300A40">
        <w:rPr>
          <w:szCs w:val="24"/>
          <w:lang w:val="ru-RU" w:eastAsia="it-IT"/>
        </w:rPr>
        <w:t xml:space="preserve"> </w:t>
      </w:r>
      <w:r w:rsidRPr="00300A40">
        <w:rPr>
          <w:szCs w:val="24"/>
          <w:lang w:eastAsia="it-IT"/>
        </w:rPr>
        <w:t>svoye</w:t>
      </w:r>
      <w:r w:rsidRPr="00300A40">
        <w:rPr>
          <w:szCs w:val="24"/>
          <w:lang w:val="ru-RU" w:eastAsia="it-IT"/>
        </w:rPr>
        <w:t xml:space="preserve"> </w:t>
      </w:r>
      <w:r w:rsidRPr="00300A40">
        <w:rPr>
          <w:szCs w:val="24"/>
          <w:lang w:eastAsia="it-IT"/>
        </w:rPr>
        <w:t>budushcheye</w:t>
      </w:r>
      <w:r w:rsidRPr="00300A40">
        <w:rPr>
          <w:szCs w:val="24"/>
          <w:lang w:val="ru-RU" w:eastAsia="it-IT"/>
        </w:rPr>
        <w:t xml:space="preserve"> </w:t>
      </w:r>
      <w:r w:rsidRPr="00300A40">
        <w:rPr>
          <w:szCs w:val="24"/>
          <w:lang w:eastAsia="it-IT"/>
        </w:rPr>
        <w:t>vidit</w:t>
      </w:r>
      <w:r w:rsidRPr="00300A40">
        <w:rPr>
          <w:szCs w:val="24"/>
          <w:lang w:val="ru-RU" w:eastAsia="it-IT"/>
        </w:rPr>
        <w:t xml:space="preserve"> </w:t>
      </w:r>
      <w:r w:rsidRPr="00300A40">
        <w:rPr>
          <w:szCs w:val="24"/>
          <w:lang w:eastAsia="it-IT"/>
        </w:rPr>
        <w:t>bez</w:t>
      </w:r>
      <w:r w:rsidRPr="00300A40">
        <w:rPr>
          <w:szCs w:val="24"/>
          <w:lang w:val="ru-RU" w:eastAsia="it-IT"/>
        </w:rPr>
        <w:t xml:space="preserve"> </w:t>
      </w:r>
      <w:r w:rsidRPr="00300A40">
        <w:rPr>
          <w:szCs w:val="24"/>
          <w:lang w:eastAsia="it-IT"/>
        </w:rPr>
        <w:t>Rossii</w:t>
      </w:r>
      <w:r w:rsidRPr="00300A40">
        <w:rPr>
          <w:szCs w:val="24"/>
          <w:lang w:val="ru-RU" w:eastAsia="it-IT"/>
        </w:rPr>
        <w:t xml:space="preserve">, </w:t>
      </w:r>
      <w:r w:rsidRPr="00300A40">
        <w:rPr>
          <w:szCs w:val="24"/>
          <w:lang w:eastAsia="it-IT"/>
        </w:rPr>
        <w:t>to</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printsipe</w:t>
      </w:r>
      <w:r w:rsidRPr="00300A40">
        <w:rPr>
          <w:szCs w:val="24"/>
          <w:lang w:val="ru-RU" w:eastAsia="it-IT"/>
        </w:rPr>
        <w:t xml:space="preserve"> </w:t>
      </w:r>
      <w:r w:rsidRPr="00300A40">
        <w:rPr>
          <w:szCs w:val="24"/>
          <w:lang w:eastAsia="it-IT"/>
        </w:rPr>
        <w:t>algoritm</w:t>
      </w:r>
      <w:r w:rsidRPr="00300A40">
        <w:rPr>
          <w:szCs w:val="24"/>
          <w:lang w:val="ru-RU" w:eastAsia="it-IT"/>
        </w:rPr>
        <w:t xml:space="preserve"> </w:t>
      </w:r>
      <w:r w:rsidRPr="00300A40">
        <w:rPr>
          <w:szCs w:val="24"/>
          <w:lang w:eastAsia="it-IT"/>
        </w:rPr>
        <w:t>izvestnyy</w:t>
      </w:r>
      <w:r w:rsidRPr="00300A40">
        <w:rPr>
          <w:szCs w:val="24"/>
          <w:lang w:val="ru-RU" w:eastAsia="it-IT"/>
        </w:rPr>
        <w:t xml:space="preserve"> </w:t>
      </w:r>
      <w:r w:rsidRPr="00300A40">
        <w:rPr>
          <w:szCs w:val="24"/>
          <w:lang w:eastAsia="it-IT"/>
        </w:rPr>
        <w:t>i</w:t>
      </w:r>
      <w:r w:rsidRPr="00300A40">
        <w:rPr>
          <w:szCs w:val="24"/>
          <w:lang w:val="ru-RU" w:eastAsia="it-IT"/>
        </w:rPr>
        <w:t xml:space="preserve"> </w:t>
      </w:r>
      <w:r w:rsidRPr="00300A40">
        <w:rPr>
          <w:szCs w:val="24"/>
          <w:lang w:eastAsia="it-IT"/>
        </w:rPr>
        <w:t>predskazuemyy</w:t>
      </w:r>
      <w:r w:rsidRPr="00300A40">
        <w:rPr>
          <w:szCs w:val="24"/>
          <w:lang w:val="ru-RU" w:eastAsia="it-IT"/>
        </w:rPr>
        <w:t xml:space="preserve">. </w:t>
      </w:r>
      <w:r w:rsidRPr="00300A40">
        <w:rPr>
          <w:szCs w:val="24"/>
          <w:lang w:eastAsia="it-IT"/>
        </w:rPr>
        <w:t>Eto</w:t>
      </w:r>
      <w:r w:rsidRPr="00300A40">
        <w:rPr>
          <w:szCs w:val="24"/>
          <w:lang w:val="ru-RU" w:eastAsia="it-IT"/>
        </w:rPr>
        <w:t xml:space="preserve"> </w:t>
      </w:r>
      <w:r w:rsidRPr="00300A40">
        <w:rPr>
          <w:szCs w:val="24"/>
          <w:lang w:eastAsia="it-IT"/>
        </w:rPr>
        <w:t>rusofobskie</w:t>
      </w:r>
      <w:r w:rsidRPr="00300A40">
        <w:rPr>
          <w:szCs w:val="24"/>
          <w:lang w:val="ru-RU" w:eastAsia="it-IT"/>
        </w:rPr>
        <w:t xml:space="preserve"> </w:t>
      </w:r>
      <w:r w:rsidRPr="00300A40">
        <w:rPr>
          <w:szCs w:val="24"/>
          <w:lang w:eastAsia="it-IT"/>
        </w:rPr>
        <w:t>mitingi</w:t>
      </w:r>
      <w:r w:rsidRPr="00300A40">
        <w:rPr>
          <w:szCs w:val="24"/>
          <w:lang w:val="ru-RU" w:eastAsia="it-IT"/>
        </w:rPr>
        <w:t xml:space="preserve"> (</w:t>
      </w:r>
      <w:r w:rsidRPr="00300A40">
        <w:rPr>
          <w:szCs w:val="24"/>
          <w:lang w:eastAsia="it-IT"/>
        </w:rPr>
        <w:t>oni</w:t>
      </w:r>
      <w:r w:rsidRPr="00300A40">
        <w:rPr>
          <w:szCs w:val="24"/>
          <w:lang w:val="ru-RU" w:eastAsia="it-IT"/>
        </w:rPr>
        <w:t xml:space="preserve"> </w:t>
      </w:r>
      <w:r w:rsidRPr="00300A40">
        <w:rPr>
          <w:szCs w:val="24"/>
          <w:lang w:eastAsia="it-IT"/>
        </w:rPr>
        <w:t>uzhe</w:t>
      </w:r>
      <w:r w:rsidRPr="00300A40">
        <w:rPr>
          <w:szCs w:val="24"/>
          <w:lang w:val="ru-RU" w:eastAsia="it-IT"/>
        </w:rPr>
        <w:t xml:space="preserve"> </w:t>
      </w:r>
      <w:r w:rsidRPr="00300A40">
        <w:rPr>
          <w:szCs w:val="24"/>
          <w:lang w:eastAsia="it-IT"/>
        </w:rPr>
        <w:t>poshli</w:t>
      </w:r>
      <w:r w:rsidRPr="00300A40">
        <w:rPr>
          <w:szCs w:val="24"/>
          <w:lang w:val="ru-RU" w:eastAsia="it-IT"/>
        </w:rPr>
        <w:t xml:space="preserve">), </w:t>
      </w:r>
      <w:r w:rsidRPr="00300A40">
        <w:rPr>
          <w:szCs w:val="24"/>
          <w:lang w:eastAsia="it-IT"/>
        </w:rPr>
        <w:t>eto</w:t>
      </w:r>
      <w:r w:rsidRPr="00300A40">
        <w:rPr>
          <w:szCs w:val="24"/>
          <w:lang w:val="ru-RU" w:eastAsia="it-IT"/>
        </w:rPr>
        <w:t xml:space="preserve"> </w:t>
      </w:r>
      <w:r w:rsidRPr="00300A40">
        <w:rPr>
          <w:szCs w:val="24"/>
          <w:lang w:eastAsia="it-IT"/>
        </w:rPr>
        <w:t>protsess</w:t>
      </w:r>
      <w:r w:rsidRPr="00300A40">
        <w:rPr>
          <w:szCs w:val="24"/>
          <w:lang w:val="ru-RU" w:eastAsia="it-IT"/>
        </w:rPr>
        <w:t xml:space="preserve"> (</w:t>
      </w:r>
      <w:r w:rsidRPr="00300A40">
        <w:rPr>
          <w:szCs w:val="24"/>
          <w:lang w:eastAsia="it-IT"/>
        </w:rPr>
        <w:t>ya</w:t>
      </w:r>
      <w:r w:rsidRPr="00300A40">
        <w:rPr>
          <w:szCs w:val="24"/>
          <w:lang w:val="ru-RU" w:eastAsia="it-IT"/>
        </w:rPr>
        <w:t xml:space="preserve"> </w:t>
      </w:r>
      <w:r w:rsidRPr="00300A40">
        <w:rPr>
          <w:szCs w:val="24"/>
          <w:lang w:eastAsia="it-IT"/>
        </w:rPr>
        <w:t>dumayu</w:t>
      </w:r>
      <w:r w:rsidRPr="00300A40">
        <w:rPr>
          <w:szCs w:val="24"/>
          <w:lang w:val="ru-RU" w:eastAsia="it-IT"/>
        </w:rPr>
        <w:t xml:space="preserve">, </w:t>
      </w:r>
      <w:r w:rsidRPr="00300A40">
        <w:rPr>
          <w:szCs w:val="24"/>
          <w:lang w:eastAsia="it-IT"/>
        </w:rPr>
        <w:t>skoro</w:t>
      </w:r>
      <w:r w:rsidRPr="00300A40">
        <w:rPr>
          <w:szCs w:val="24"/>
          <w:lang w:val="ru-RU" w:eastAsia="it-IT"/>
        </w:rPr>
        <w:t xml:space="preserve"> </w:t>
      </w:r>
      <w:r w:rsidRPr="00300A40">
        <w:rPr>
          <w:szCs w:val="24"/>
          <w:lang w:eastAsia="it-IT"/>
        </w:rPr>
        <w:t>ego</w:t>
      </w:r>
      <w:r w:rsidRPr="00300A40">
        <w:rPr>
          <w:szCs w:val="24"/>
          <w:lang w:val="ru-RU" w:eastAsia="it-IT"/>
        </w:rPr>
        <w:t xml:space="preserve"> </w:t>
      </w:r>
      <w:r w:rsidRPr="00300A40">
        <w:rPr>
          <w:szCs w:val="24"/>
          <w:lang w:eastAsia="it-IT"/>
        </w:rPr>
        <w:t>zapustyat</w:t>
      </w:r>
      <w:r w:rsidRPr="00300A40">
        <w:rPr>
          <w:szCs w:val="24"/>
          <w:lang w:val="ru-RU" w:eastAsia="it-IT"/>
        </w:rPr>
        <w:t xml:space="preserve">) </w:t>
      </w:r>
      <w:r w:rsidRPr="00300A40">
        <w:rPr>
          <w:szCs w:val="24"/>
          <w:lang w:eastAsia="it-IT"/>
        </w:rPr>
        <w:t>vydavlivaniya</w:t>
      </w:r>
      <w:r w:rsidRPr="00300A40">
        <w:rPr>
          <w:szCs w:val="24"/>
          <w:lang w:val="ru-RU" w:eastAsia="it-IT"/>
        </w:rPr>
        <w:t xml:space="preserve"> </w:t>
      </w:r>
      <w:r w:rsidRPr="00300A40">
        <w:rPr>
          <w:szCs w:val="24"/>
          <w:lang w:eastAsia="it-IT"/>
        </w:rPr>
        <w:t>rossiyskoy</w:t>
      </w:r>
      <w:r w:rsidRPr="00300A40">
        <w:rPr>
          <w:szCs w:val="24"/>
          <w:lang w:val="ru-RU" w:eastAsia="it-IT"/>
        </w:rPr>
        <w:t xml:space="preserve"> </w:t>
      </w:r>
      <w:r w:rsidRPr="00300A40">
        <w:rPr>
          <w:szCs w:val="24"/>
          <w:lang w:eastAsia="it-IT"/>
        </w:rPr>
        <w:t>voennoy</w:t>
      </w:r>
      <w:r w:rsidRPr="00300A40">
        <w:rPr>
          <w:szCs w:val="24"/>
          <w:lang w:val="ru-RU" w:eastAsia="it-IT"/>
        </w:rPr>
        <w:t xml:space="preserve"> </w:t>
      </w:r>
      <w:r w:rsidRPr="00300A40">
        <w:rPr>
          <w:szCs w:val="24"/>
          <w:lang w:eastAsia="it-IT"/>
        </w:rPr>
        <w:t>bazy</w:t>
      </w:r>
      <w:r w:rsidRPr="00300A40">
        <w:rPr>
          <w:szCs w:val="24"/>
          <w:lang w:val="ru-RU" w:eastAsia="it-IT"/>
        </w:rPr>
        <w:t xml:space="preserve"> </w:t>
      </w:r>
      <w:r w:rsidRPr="00300A40">
        <w:rPr>
          <w:szCs w:val="24"/>
          <w:lang w:eastAsia="it-IT"/>
        </w:rPr>
        <w:t>iz</w:t>
      </w:r>
      <w:r w:rsidRPr="00300A40">
        <w:rPr>
          <w:szCs w:val="24"/>
          <w:lang w:val="ru-RU" w:eastAsia="it-IT"/>
        </w:rPr>
        <w:t xml:space="preserve"> </w:t>
      </w:r>
      <w:r w:rsidRPr="00300A40">
        <w:rPr>
          <w:szCs w:val="24"/>
          <w:lang w:eastAsia="it-IT"/>
        </w:rPr>
        <w:t>Gyumri</w:t>
      </w:r>
      <w:r w:rsidRPr="00300A40">
        <w:rPr>
          <w:szCs w:val="24"/>
          <w:lang w:val="ru-RU" w:eastAsia="it-IT"/>
        </w:rPr>
        <w:t xml:space="preserve">, </w:t>
      </w:r>
      <w:r w:rsidRPr="00300A40">
        <w:rPr>
          <w:szCs w:val="24"/>
          <w:lang w:eastAsia="it-IT"/>
        </w:rPr>
        <w:t>eto</w:t>
      </w:r>
      <w:r w:rsidRPr="00300A40">
        <w:rPr>
          <w:szCs w:val="24"/>
          <w:lang w:val="ru-RU" w:eastAsia="it-IT"/>
        </w:rPr>
        <w:t xml:space="preserve"> </w:t>
      </w:r>
      <w:r w:rsidRPr="00300A40">
        <w:rPr>
          <w:szCs w:val="24"/>
          <w:lang w:eastAsia="it-IT"/>
        </w:rPr>
        <w:t>vykhod</w:t>
      </w:r>
      <w:r w:rsidRPr="00300A40">
        <w:rPr>
          <w:szCs w:val="24"/>
          <w:lang w:val="ru-RU" w:eastAsia="it-IT"/>
        </w:rPr>
        <w:t xml:space="preserve"> </w:t>
      </w:r>
      <w:r w:rsidRPr="00300A40">
        <w:rPr>
          <w:szCs w:val="24"/>
          <w:lang w:eastAsia="it-IT"/>
        </w:rPr>
        <w:t>iz</w:t>
      </w:r>
      <w:r w:rsidRPr="00300A40">
        <w:rPr>
          <w:szCs w:val="24"/>
          <w:lang w:val="ru-RU" w:eastAsia="it-IT"/>
        </w:rPr>
        <w:t xml:space="preserve"> </w:t>
      </w:r>
      <w:r w:rsidRPr="00300A40">
        <w:rPr>
          <w:szCs w:val="24"/>
          <w:lang w:eastAsia="it-IT"/>
        </w:rPr>
        <w:t>ODKB</w:t>
      </w:r>
      <w:r w:rsidRPr="00300A40">
        <w:rPr>
          <w:szCs w:val="24"/>
          <w:lang w:val="ru-RU" w:eastAsia="it-IT"/>
        </w:rPr>
        <w:t>...</w:t>
      </w:r>
      <w:r w:rsidRPr="00300A40">
        <w:rPr>
          <w:szCs w:val="24"/>
          <w:lang w:eastAsia="it-IT"/>
        </w:rPr>
        <w:t>nichego</w:t>
      </w:r>
      <w:r w:rsidRPr="00300A40">
        <w:rPr>
          <w:szCs w:val="24"/>
          <w:lang w:val="ru-RU" w:eastAsia="it-IT"/>
        </w:rPr>
        <w:t xml:space="preserve"> </w:t>
      </w:r>
      <w:r w:rsidRPr="00300A40">
        <w:rPr>
          <w:szCs w:val="24"/>
          <w:lang w:eastAsia="it-IT"/>
        </w:rPr>
        <w:t>ne</w:t>
      </w:r>
      <w:r w:rsidRPr="00300A40">
        <w:rPr>
          <w:szCs w:val="24"/>
          <w:lang w:val="ru-RU" w:eastAsia="it-IT"/>
        </w:rPr>
        <w:t xml:space="preserve"> </w:t>
      </w:r>
      <w:r w:rsidRPr="00300A40">
        <w:rPr>
          <w:szCs w:val="24"/>
          <w:lang w:eastAsia="it-IT"/>
        </w:rPr>
        <w:t>ostanovit</w:t>
      </w:r>
      <w:r w:rsidRPr="00300A40">
        <w:rPr>
          <w:szCs w:val="24"/>
          <w:lang w:val="ru-RU" w:eastAsia="it-IT"/>
        </w:rPr>
        <w:t xml:space="preserve"> </w:t>
      </w:r>
      <w:r w:rsidRPr="00300A40">
        <w:rPr>
          <w:szCs w:val="24"/>
          <w:lang w:eastAsia="it-IT"/>
        </w:rPr>
        <w:t>Baku</w:t>
      </w:r>
      <w:r w:rsidRPr="00300A40">
        <w:rPr>
          <w:szCs w:val="24"/>
          <w:lang w:val="ru-RU" w:eastAsia="it-IT"/>
        </w:rPr>
        <w:t xml:space="preserve"> </w:t>
      </w:r>
      <w:r w:rsidRPr="00300A40">
        <w:rPr>
          <w:szCs w:val="24"/>
          <w:lang w:eastAsia="it-IT"/>
        </w:rPr>
        <w:t>ot</w:t>
      </w:r>
      <w:r w:rsidRPr="00300A40">
        <w:rPr>
          <w:szCs w:val="24"/>
          <w:lang w:val="ru-RU" w:eastAsia="it-IT"/>
        </w:rPr>
        <w:t xml:space="preserve"> </w:t>
      </w:r>
      <w:r w:rsidRPr="00300A40">
        <w:rPr>
          <w:szCs w:val="24"/>
          <w:lang w:eastAsia="it-IT"/>
        </w:rPr>
        <w:t>zhelaniya</w:t>
      </w:r>
      <w:r w:rsidRPr="00300A40">
        <w:rPr>
          <w:szCs w:val="24"/>
          <w:lang w:val="ru-RU" w:eastAsia="it-IT"/>
        </w:rPr>
        <w:t xml:space="preserve"> </w:t>
      </w:r>
      <w:r w:rsidRPr="00300A40">
        <w:rPr>
          <w:szCs w:val="24"/>
          <w:lang w:eastAsia="it-IT"/>
        </w:rPr>
        <w:t>probit</w:t>
      </w:r>
      <w:r w:rsidRPr="00300A40">
        <w:rPr>
          <w:szCs w:val="24"/>
          <w:lang w:val="ru-RU" w:eastAsia="it-IT"/>
        </w:rPr>
        <w:t xml:space="preserve">' </w:t>
      </w:r>
      <w:r w:rsidRPr="00300A40">
        <w:rPr>
          <w:szCs w:val="24"/>
          <w:lang w:eastAsia="it-IT"/>
        </w:rPr>
        <w:t>svoy</w:t>
      </w:r>
      <w:r w:rsidRPr="00300A40">
        <w:rPr>
          <w:szCs w:val="24"/>
          <w:lang w:val="ru-RU" w:eastAsia="it-IT"/>
        </w:rPr>
        <w:t xml:space="preserve"> </w:t>
      </w:r>
      <w:r w:rsidRPr="00300A40">
        <w:rPr>
          <w:szCs w:val="24"/>
          <w:lang w:eastAsia="it-IT"/>
        </w:rPr>
        <w:t>koridor</w:t>
      </w:r>
      <w:r w:rsidRPr="00300A40">
        <w:rPr>
          <w:szCs w:val="24"/>
          <w:lang w:val="ru-RU" w:eastAsia="it-IT"/>
        </w:rPr>
        <w:t xml:space="preserve"> </w:t>
      </w:r>
      <w:r w:rsidRPr="00300A40">
        <w:rPr>
          <w:szCs w:val="24"/>
          <w:lang w:eastAsia="it-IT"/>
        </w:rPr>
        <w:t>sukhoputnyy</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svoy</w:t>
      </w:r>
      <w:r w:rsidRPr="00300A40">
        <w:rPr>
          <w:szCs w:val="24"/>
          <w:lang w:val="ru-RU" w:eastAsia="it-IT"/>
        </w:rPr>
        <w:t xml:space="preserve"> </w:t>
      </w:r>
      <w:r w:rsidRPr="00300A40">
        <w:rPr>
          <w:szCs w:val="24"/>
          <w:lang w:eastAsia="it-IT"/>
        </w:rPr>
        <w:t>anklav</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Nakhichevan</w:t>
      </w:r>
      <w:r w:rsidRPr="00300A40">
        <w:rPr>
          <w:szCs w:val="24"/>
          <w:lang w:val="ru-RU" w:eastAsia="it-IT"/>
        </w:rPr>
        <w:t xml:space="preserve">', </w:t>
      </w:r>
      <w:r w:rsidRPr="00300A40">
        <w:rPr>
          <w:szCs w:val="24"/>
          <w:lang w:eastAsia="it-IT"/>
        </w:rPr>
        <w:t>kotoryy</w:t>
      </w:r>
      <w:r w:rsidRPr="00300A40">
        <w:rPr>
          <w:szCs w:val="24"/>
          <w:lang w:val="ru-RU" w:eastAsia="it-IT"/>
        </w:rPr>
        <w:t xml:space="preserve"> </w:t>
      </w:r>
      <w:r w:rsidRPr="00300A40">
        <w:rPr>
          <w:szCs w:val="24"/>
          <w:lang w:eastAsia="it-IT"/>
        </w:rPr>
        <w:t>seychas</w:t>
      </w:r>
      <w:r w:rsidRPr="00300A40">
        <w:rPr>
          <w:szCs w:val="24"/>
          <w:lang w:val="ru-RU" w:eastAsia="it-IT"/>
        </w:rPr>
        <w:t xml:space="preserve">, </w:t>
      </w:r>
      <w:r w:rsidRPr="00300A40">
        <w:rPr>
          <w:szCs w:val="24"/>
          <w:lang w:eastAsia="it-IT"/>
        </w:rPr>
        <w:t>ya</w:t>
      </w:r>
      <w:r w:rsidRPr="00300A40">
        <w:rPr>
          <w:szCs w:val="24"/>
          <w:lang w:val="ru-RU" w:eastAsia="it-IT"/>
        </w:rPr>
        <w:t xml:space="preserve"> </w:t>
      </w:r>
      <w:r w:rsidRPr="00300A40">
        <w:rPr>
          <w:szCs w:val="24"/>
          <w:lang w:eastAsia="it-IT"/>
        </w:rPr>
        <w:t>napomnyu</w:t>
      </w:r>
      <w:r w:rsidRPr="00300A40">
        <w:rPr>
          <w:szCs w:val="24"/>
          <w:lang w:val="ru-RU" w:eastAsia="it-IT"/>
        </w:rPr>
        <w:t xml:space="preserve">, </w:t>
      </w:r>
      <w:r w:rsidRPr="00300A40">
        <w:rPr>
          <w:szCs w:val="24"/>
          <w:lang w:eastAsia="it-IT"/>
        </w:rPr>
        <w:t>otrezan</w:t>
      </w:r>
      <w:r w:rsidRPr="00300A40">
        <w:rPr>
          <w:szCs w:val="24"/>
          <w:lang w:val="ru-RU" w:eastAsia="it-IT"/>
        </w:rPr>
        <w:t xml:space="preserve"> </w:t>
      </w:r>
      <w:r w:rsidRPr="00300A40">
        <w:rPr>
          <w:szCs w:val="24"/>
          <w:lang w:eastAsia="it-IT"/>
        </w:rPr>
        <w:t>ot</w:t>
      </w:r>
      <w:r w:rsidRPr="00300A40">
        <w:rPr>
          <w:szCs w:val="24"/>
          <w:lang w:val="ru-RU" w:eastAsia="it-IT"/>
        </w:rPr>
        <w:t xml:space="preserve"> </w:t>
      </w:r>
      <w:r w:rsidRPr="00300A40">
        <w:rPr>
          <w:szCs w:val="24"/>
          <w:lang w:eastAsia="it-IT"/>
        </w:rPr>
        <w:t>ostal</w:t>
      </w:r>
      <w:r w:rsidRPr="00300A40">
        <w:rPr>
          <w:szCs w:val="24"/>
          <w:lang w:val="ru-RU" w:eastAsia="it-IT"/>
        </w:rPr>
        <w:t>'</w:t>
      </w:r>
      <w:r w:rsidRPr="00300A40">
        <w:rPr>
          <w:szCs w:val="24"/>
          <w:lang w:eastAsia="it-IT"/>
        </w:rPr>
        <w:t>nogo</w:t>
      </w:r>
      <w:r w:rsidRPr="00300A40">
        <w:rPr>
          <w:szCs w:val="24"/>
          <w:lang w:val="ru-RU" w:eastAsia="it-IT"/>
        </w:rPr>
        <w:t xml:space="preserve"> </w:t>
      </w:r>
      <w:r w:rsidRPr="00300A40">
        <w:rPr>
          <w:szCs w:val="24"/>
          <w:lang w:eastAsia="it-IT"/>
        </w:rPr>
        <w:t>Azerbaydzhana</w:t>
      </w:r>
      <w:r w:rsidRPr="00300A40">
        <w:rPr>
          <w:szCs w:val="24"/>
          <w:lang w:val="ru-RU" w:eastAsia="it-IT"/>
        </w:rPr>
        <w:t xml:space="preserve"> </w:t>
      </w:r>
      <w:r w:rsidRPr="00300A40">
        <w:rPr>
          <w:szCs w:val="24"/>
          <w:lang w:eastAsia="it-IT"/>
        </w:rPr>
        <w:t>Syuniksko</w:t>
      </w:r>
      <w:r w:rsidRPr="00300A40">
        <w:rPr>
          <w:szCs w:val="24"/>
          <w:lang w:val="ru-RU" w:eastAsia="it-IT"/>
        </w:rPr>
        <w:t xml:space="preserve">ĭ </w:t>
      </w:r>
      <w:r w:rsidRPr="00300A40">
        <w:rPr>
          <w:szCs w:val="24"/>
          <w:lang w:eastAsia="it-IT"/>
        </w:rPr>
        <w:t>oblast</w:t>
      </w:r>
      <w:r w:rsidRPr="00300A40">
        <w:rPr>
          <w:szCs w:val="24"/>
          <w:lang w:val="ru-RU" w:eastAsia="it-IT"/>
        </w:rPr>
        <w:t>'</w:t>
      </w:r>
      <w:r w:rsidRPr="00300A40">
        <w:rPr>
          <w:szCs w:val="24"/>
          <w:lang w:eastAsia="it-IT"/>
        </w:rPr>
        <w:t>yu</w:t>
      </w:r>
      <w:r w:rsidRPr="00300A40">
        <w:rPr>
          <w:szCs w:val="24"/>
          <w:lang w:val="ru-RU" w:eastAsia="it-IT"/>
        </w:rPr>
        <w:t xml:space="preserve"> </w:t>
      </w:r>
      <w:r w:rsidRPr="00300A40">
        <w:rPr>
          <w:szCs w:val="24"/>
          <w:lang w:eastAsia="it-IT"/>
        </w:rPr>
        <w:t>Armenii</w:t>
      </w:r>
      <w:r w:rsidRPr="00300A40">
        <w:rPr>
          <w:szCs w:val="24"/>
          <w:lang w:val="ru-RU" w:eastAsia="it-IT"/>
        </w:rPr>
        <w:t xml:space="preserve">. </w:t>
      </w:r>
      <w:r w:rsidRPr="00300A40">
        <w:rPr>
          <w:szCs w:val="24"/>
          <w:lang w:eastAsia="it-IT"/>
        </w:rPr>
        <w:t>Yesli</w:t>
      </w:r>
      <w:r w:rsidRPr="00300A40">
        <w:rPr>
          <w:szCs w:val="24"/>
          <w:lang w:val="ru-RU" w:eastAsia="it-IT"/>
        </w:rPr>
        <w:t xml:space="preserve"> </w:t>
      </w:r>
      <w:r w:rsidRPr="00300A40">
        <w:rPr>
          <w:szCs w:val="24"/>
          <w:lang w:eastAsia="it-IT"/>
        </w:rPr>
        <w:t>my</w:t>
      </w:r>
      <w:r w:rsidRPr="00300A40">
        <w:rPr>
          <w:szCs w:val="24"/>
          <w:lang w:val="ru-RU" w:eastAsia="it-IT"/>
        </w:rPr>
        <w:t xml:space="preserve"> </w:t>
      </w:r>
      <w:r w:rsidRPr="00300A40">
        <w:rPr>
          <w:szCs w:val="24"/>
          <w:lang w:eastAsia="it-IT"/>
        </w:rPr>
        <w:t>na</w:t>
      </w:r>
      <w:r w:rsidRPr="00300A40">
        <w:rPr>
          <w:szCs w:val="24"/>
          <w:lang w:val="ru-RU" w:eastAsia="it-IT"/>
        </w:rPr>
        <w:t xml:space="preserve"> </w:t>
      </w:r>
      <w:r w:rsidRPr="00300A40">
        <w:rPr>
          <w:szCs w:val="24"/>
          <w:lang w:eastAsia="it-IT"/>
        </w:rPr>
        <w:t>karte</w:t>
      </w:r>
      <w:r w:rsidRPr="00300A40">
        <w:rPr>
          <w:szCs w:val="24"/>
          <w:lang w:val="ru-RU" w:eastAsia="it-IT"/>
        </w:rPr>
        <w:t xml:space="preserve"> </w:t>
      </w:r>
      <w:r w:rsidRPr="00300A40">
        <w:rPr>
          <w:szCs w:val="24"/>
          <w:lang w:eastAsia="it-IT"/>
        </w:rPr>
        <w:t>posmotrim</w:t>
      </w:r>
      <w:r w:rsidRPr="00300A40">
        <w:rPr>
          <w:szCs w:val="24"/>
          <w:lang w:val="ru-RU" w:eastAsia="it-IT"/>
        </w:rPr>
        <w:t xml:space="preserve">, </w:t>
      </w:r>
      <w:r w:rsidRPr="00300A40">
        <w:rPr>
          <w:szCs w:val="24"/>
          <w:lang w:eastAsia="it-IT"/>
        </w:rPr>
        <w:t>to</w:t>
      </w:r>
      <w:r w:rsidRPr="00300A40">
        <w:rPr>
          <w:szCs w:val="24"/>
          <w:lang w:val="ru-RU" w:eastAsia="it-IT"/>
        </w:rPr>
        <w:t xml:space="preserve"> </w:t>
      </w:r>
      <w:r w:rsidRPr="00300A40">
        <w:rPr>
          <w:szCs w:val="24"/>
          <w:lang w:eastAsia="it-IT"/>
        </w:rPr>
        <w:t>Armeniya</w:t>
      </w:r>
      <w:r w:rsidRPr="00300A40">
        <w:rPr>
          <w:szCs w:val="24"/>
          <w:lang w:val="ru-RU" w:eastAsia="it-IT"/>
        </w:rPr>
        <w:t xml:space="preserve"> </w:t>
      </w:r>
      <w:r w:rsidRPr="00300A40">
        <w:rPr>
          <w:szCs w:val="24"/>
          <w:lang w:eastAsia="it-IT"/>
        </w:rPr>
        <w:t>vot</w:t>
      </w:r>
      <w:r w:rsidRPr="00300A40">
        <w:rPr>
          <w:szCs w:val="24"/>
          <w:lang w:val="ru-RU" w:eastAsia="it-IT"/>
        </w:rPr>
        <w:t xml:space="preserve"> </w:t>
      </w:r>
      <w:r w:rsidRPr="00300A40">
        <w:rPr>
          <w:szCs w:val="24"/>
          <w:lang w:eastAsia="it-IT"/>
        </w:rPr>
        <w:t>takim</w:t>
      </w:r>
      <w:r w:rsidRPr="00300A40">
        <w:rPr>
          <w:szCs w:val="24"/>
          <w:lang w:val="ru-RU" w:eastAsia="it-IT"/>
        </w:rPr>
        <w:t xml:space="preserve"> </w:t>
      </w:r>
      <w:r w:rsidRPr="00300A40">
        <w:rPr>
          <w:szCs w:val="24"/>
          <w:lang w:eastAsia="it-IT"/>
        </w:rPr>
        <w:t>appendiksom</w:t>
      </w:r>
      <w:r w:rsidRPr="00300A40">
        <w:rPr>
          <w:szCs w:val="24"/>
          <w:lang w:val="ru-RU" w:eastAsia="it-IT"/>
        </w:rPr>
        <w:t xml:space="preserve"> </w:t>
      </w:r>
      <w:r w:rsidRPr="00300A40">
        <w:rPr>
          <w:szCs w:val="24"/>
          <w:lang w:eastAsia="it-IT"/>
        </w:rPr>
        <w:t>vrezayetsya</w:t>
      </w:r>
      <w:r w:rsidRPr="00300A40">
        <w:rPr>
          <w:szCs w:val="24"/>
          <w:lang w:val="ru-RU" w:eastAsia="it-IT"/>
        </w:rPr>
        <w:t xml:space="preserve"> </w:t>
      </w:r>
      <w:r w:rsidRPr="00300A40">
        <w:rPr>
          <w:szCs w:val="24"/>
          <w:lang w:eastAsia="it-IT"/>
        </w:rPr>
        <w:t>v</w:t>
      </w:r>
      <w:r w:rsidRPr="00300A40">
        <w:rPr>
          <w:szCs w:val="24"/>
          <w:lang w:val="ru-RU" w:eastAsia="it-IT"/>
        </w:rPr>
        <w:t xml:space="preserve"> </w:t>
      </w:r>
      <w:r w:rsidRPr="00300A40">
        <w:rPr>
          <w:szCs w:val="24"/>
          <w:lang w:eastAsia="it-IT"/>
        </w:rPr>
        <w:t>Azerbaydzhan</w:t>
      </w:r>
      <w:r w:rsidRPr="00300A40">
        <w:rPr>
          <w:szCs w:val="24"/>
          <w:lang w:val="ru-RU" w:eastAsia="it-IT"/>
        </w:rPr>
        <w:t xml:space="preserve">, </w:t>
      </w:r>
      <w:r w:rsidRPr="00300A40">
        <w:rPr>
          <w:szCs w:val="24"/>
          <w:lang w:eastAsia="it-IT"/>
        </w:rPr>
        <w:t>osnovnaya</w:t>
      </w:r>
      <w:r w:rsidRPr="00300A40">
        <w:rPr>
          <w:szCs w:val="24"/>
          <w:lang w:val="ru-RU" w:eastAsia="it-IT"/>
        </w:rPr>
        <w:t xml:space="preserve"> </w:t>
      </w:r>
      <w:r w:rsidRPr="00300A40">
        <w:rPr>
          <w:szCs w:val="24"/>
          <w:lang w:eastAsia="it-IT"/>
        </w:rPr>
        <w:t>chast</w:t>
      </w:r>
      <w:r w:rsidRPr="00300A40">
        <w:rPr>
          <w:szCs w:val="24"/>
          <w:lang w:val="ru-RU" w:eastAsia="it-IT"/>
        </w:rPr>
        <w:t xml:space="preserve">' </w:t>
      </w:r>
      <w:r w:rsidRPr="00300A40">
        <w:rPr>
          <w:szCs w:val="24"/>
          <w:lang w:eastAsia="it-IT"/>
        </w:rPr>
        <w:t>yego</w:t>
      </w:r>
      <w:r w:rsidRPr="00300A40">
        <w:rPr>
          <w:szCs w:val="24"/>
          <w:lang w:val="ru-RU" w:eastAsia="it-IT"/>
        </w:rPr>
        <w:t xml:space="preserve"> </w:t>
      </w:r>
      <w:r w:rsidRPr="00300A40">
        <w:rPr>
          <w:szCs w:val="24"/>
          <w:lang w:eastAsia="it-IT"/>
        </w:rPr>
        <w:t>s</w:t>
      </w:r>
      <w:r w:rsidRPr="00300A40">
        <w:rPr>
          <w:szCs w:val="24"/>
          <w:lang w:val="ru-RU" w:eastAsia="it-IT"/>
        </w:rPr>
        <w:t xml:space="preserve"> </w:t>
      </w:r>
      <w:r w:rsidRPr="00300A40">
        <w:rPr>
          <w:szCs w:val="24"/>
          <w:lang w:eastAsia="it-IT"/>
        </w:rPr>
        <w:t>etoy</w:t>
      </w:r>
      <w:r w:rsidRPr="00300A40">
        <w:rPr>
          <w:szCs w:val="24"/>
          <w:lang w:val="ru-RU" w:eastAsia="it-IT"/>
        </w:rPr>
        <w:t xml:space="preserve"> </w:t>
      </w:r>
      <w:r w:rsidRPr="00300A40">
        <w:rPr>
          <w:szCs w:val="24"/>
          <w:lang w:eastAsia="it-IT"/>
        </w:rPr>
        <w:t>storony</w:t>
      </w:r>
      <w:r w:rsidRPr="00300A40">
        <w:rPr>
          <w:szCs w:val="24"/>
          <w:lang w:val="ru-RU" w:eastAsia="it-IT"/>
        </w:rPr>
        <w:t xml:space="preserve">, </w:t>
      </w:r>
      <w:r w:rsidRPr="00300A40">
        <w:rPr>
          <w:szCs w:val="24"/>
          <w:lang w:eastAsia="it-IT"/>
        </w:rPr>
        <w:t>Nakhichevan</w:t>
      </w:r>
      <w:r w:rsidRPr="00300A40">
        <w:rPr>
          <w:szCs w:val="24"/>
          <w:lang w:val="ru-RU" w:eastAsia="it-IT"/>
        </w:rPr>
        <w:t xml:space="preserve">' – </w:t>
      </w:r>
      <w:r w:rsidRPr="00300A40">
        <w:rPr>
          <w:szCs w:val="24"/>
          <w:lang w:eastAsia="it-IT"/>
        </w:rPr>
        <w:t>s</w:t>
      </w:r>
      <w:r w:rsidRPr="00300A40">
        <w:rPr>
          <w:szCs w:val="24"/>
          <w:lang w:val="ru-RU" w:eastAsia="it-IT"/>
        </w:rPr>
        <w:t xml:space="preserve"> </w:t>
      </w:r>
      <w:r w:rsidRPr="00300A40">
        <w:rPr>
          <w:szCs w:val="24"/>
          <w:lang w:eastAsia="it-IT"/>
        </w:rPr>
        <w:t>etoy</w:t>
      </w:r>
      <w:r w:rsidRPr="00300A40">
        <w:rPr>
          <w:szCs w:val="24"/>
          <w:lang w:val="ru-RU" w:eastAsia="it-IT"/>
        </w:rPr>
        <w:t xml:space="preserve">. </w:t>
      </w:r>
      <w:r w:rsidRPr="00300A40">
        <w:rPr>
          <w:szCs w:val="24"/>
          <w:lang w:eastAsia="it-IT"/>
        </w:rPr>
        <w:t>Kak</w:t>
      </w:r>
      <w:r w:rsidRPr="00300A40">
        <w:rPr>
          <w:szCs w:val="24"/>
          <w:lang w:val="ru-RU" w:eastAsia="it-IT"/>
        </w:rPr>
        <w:t xml:space="preserve">, </w:t>
      </w:r>
      <w:r w:rsidRPr="00300A40">
        <w:rPr>
          <w:szCs w:val="24"/>
          <w:lang w:eastAsia="it-IT"/>
        </w:rPr>
        <w:t>dopustim</w:t>
      </w:r>
      <w:r w:rsidRPr="00300A40">
        <w:rPr>
          <w:szCs w:val="24"/>
          <w:lang w:val="ru-RU" w:eastAsia="it-IT"/>
        </w:rPr>
        <w:t xml:space="preserve">, </w:t>
      </w:r>
      <w:r w:rsidRPr="00300A40">
        <w:rPr>
          <w:szCs w:val="24"/>
          <w:lang w:eastAsia="it-IT"/>
        </w:rPr>
        <w:t>nash</w:t>
      </w:r>
      <w:r w:rsidRPr="00300A40">
        <w:rPr>
          <w:szCs w:val="24"/>
          <w:lang w:val="ru-RU" w:eastAsia="it-IT"/>
        </w:rPr>
        <w:t xml:space="preserve"> </w:t>
      </w:r>
      <w:r w:rsidRPr="00300A40">
        <w:rPr>
          <w:szCs w:val="24"/>
          <w:lang w:eastAsia="it-IT"/>
        </w:rPr>
        <w:t>Kaliningrad</w:t>
      </w:r>
      <w:r w:rsidRPr="00300A40">
        <w:rPr>
          <w:szCs w:val="24"/>
          <w:lang w:val="ru-RU" w:eastAsia="it-IT"/>
        </w:rPr>
        <w:t xml:space="preserve">, </w:t>
      </w:r>
      <w:r w:rsidRPr="00300A40">
        <w:rPr>
          <w:szCs w:val="24"/>
          <w:lang w:eastAsia="it-IT"/>
        </w:rPr>
        <w:t>u</w:t>
      </w:r>
      <w:r w:rsidRPr="00300A40">
        <w:rPr>
          <w:szCs w:val="24"/>
          <w:lang w:val="ru-RU" w:eastAsia="it-IT"/>
        </w:rPr>
        <w:t xml:space="preserve"> </w:t>
      </w:r>
      <w:r w:rsidRPr="00300A40">
        <w:rPr>
          <w:szCs w:val="24"/>
          <w:lang w:eastAsia="it-IT"/>
        </w:rPr>
        <w:t>nas</w:t>
      </w:r>
      <w:r w:rsidRPr="00300A40">
        <w:rPr>
          <w:szCs w:val="24"/>
          <w:lang w:val="ru-RU" w:eastAsia="it-IT"/>
        </w:rPr>
        <w:t xml:space="preserve"> </w:t>
      </w:r>
      <w:r w:rsidRPr="00300A40">
        <w:rPr>
          <w:szCs w:val="24"/>
          <w:lang w:eastAsia="it-IT"/>
        </w:rPr>
        <w:t>net</w:t>
      </w:r>
      <w:r w:rsidRPr="00300A40">
        <w:rPr>
          <w:szCs w:val="24"/>
          <w:lang w:val="ru-RU" w:eastAsia="it-IT"/>
        </w:rPr>
        <w:t xml:space="preserve"> </w:t>
      </w:r>
      <w:r w:rsidRPr="00300A40">
        <w:rPr>
          <w:szCs w:val="24"/>
          <w:lang w:eastAsia="it-IT"/>
        </w:rPr>
        <w:t>s</w:t>
      </w:r>
      <w:r w:rsidRPr="00300A40">
        <w:rPr>
          <w:szCs w:val="24"/>
          <w:lang w:val="ru-RU" w:eastAsia="it-IT"/>
        </w:rPr>
        <w:t xml:space="preserve"> </w:t>
      </w:r>
      <w:r w:rsidRPr="00300A40">
        <w:rPr>
          <w:szCs w:val="24"/>
          <w:lang w:eastAsia="it-IT"/>
        </w:rPr>
        <w:t>nim</w:t>
      </w:r>
      <w:r w:rsidRPr="00300A40">
        <w:rPr>
          <w:szCs w:val="24"/>
          <w:lang w:val="ru-RU" w:eastAsia="it-IT"/>
        </w:rPr>
        <w:t xml:space="preserve"> </w:t>
      </w:r>
      <w:r w:rsidRPr="00300A40">
        <w:rPr>
          <w:szCs w:val="24"/>
          <w:lang w:eastAsia="it-IT"/>
        </w:rPr>
        <w:t>nazemnogo</w:t>
      </w:r>
      <w:r w:rsidRPr="00300A40">
        <w:rPr>
          <w:szCs w:val="24"/>
          <w:lang w:val="ru-RU" w:eastAsia="it-IT"/>
        </w:rPr>
        <w:t xml:space="preserve"> </w:t>
      </w:r>
      <w:r w:rsidRPr="00300A40">
        <w:rPr>
          <w:szCs w:val="24"/>
          <w:lang w:eastAsia="it-IT"/>
        </w:rPr>
        <w:t>soobshcheniya</w:t>
      </w:r>
      <w:r w:rsidRPr="00300A40">
        <w:rPr>
          <w:szCs w:val="24"/>
          <w:lang w:val="ru-RU" w:eastAsia="it-IT"/>
        </w:rPr>
        <w:t xml:space="preserve">, </w:t>
      </w:r>
      <w:r w:rsidRPr="00300A40">
        <w:rPr>
          <w:szCs w:val="24"/>
          <w:lang w:eastAsia="it-IT"/>
        </w:rPr>
        <w:t>tol</w:t>
      </w:r>
      <w:r w:rsidRPr="00300A40">
        <w:rPr>
          <w:szCs w:val="24"/>
          <w:lang w:val="ru-RU" w:eastAsia="it-IT"/>
        </w:rPr>
        <w:t>'</w:t>
      </w:r>
      <w:r w:rsidRPr="00300A40">
        <w:rPr>
          <w:szCs w:val="24"/>
          <w:lang w:eastAsia="it-IT"/>
        </w:rPr>
        <w:t>ko</w:t>
      </w:r>
      <w:r w:rsidRPr="00300A40">
        <w:rPr>
          <w:szCs w:val="24"/>
          <w:lang w:val="ru-RU" w:eastAsia="it-IT"/>
        </w:rPr>
        <w:t xml:space="preserve"> </w:t>
      </w:r>
      <w:r w:rsidRPr="00300A40">
        <w:rPr>
          <w:szCs w:val="24"/>
          <w:lang w:eastAsia="it-IT"/>
        </w:rPr>
        <w:t>cherez</w:t>
      </w:r>
      <w:r w:rsidRPr="00300A40">
        <w:rPr>
          <w:szCs w:val="24"/>
          <w:lang w:val="ru-RU" w:eastAsia="it-IT"/>
        </w:rPr>
        <w:t xml:space="preserve"> </w:t>
      </w:r>
      <w:r w:rsidRPr="00300A40">
        <w:rPr>
          <w:szCs w:val="24"/>
          <w:lang w:eastAsia="it-IT"/>
        </w:rPr>
        <w:t>Yevrosoyuz</w:t>
      </w:r>
      <w:r w:rsidRPr="00300A40">
        <w:rPr>
          <w:szCs w:val="24"/>
          <w:lang w:val="ru-RU" w:eastAsia="it-IT"/>
        </w:rPr>
        <w:t xml:space="preserve">. </w:t>
      </w:r>
      <w:r w:rsidRPr="00300A40">
        <w:rPr>
          <w:szCs w:val="24"/>
          <w:lang w:eastAsia="it-IT"/>
        </w:rPr>
        <w:t xml:space="preserve">(Kots 2023). </w:t>
      </w:r>
    </w:p>
    <w:p w14:paraId="2548FCE8"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By articulating the situation in this way, Russian actors reaffirmed that the hero-protector can still intervene, anchored in what they portray as a moral commitment toward defenseless victims. Hence, the claim that “if suddenly a responsible leader appears in Armenia, he must understand that Armenia has no future without Russia. And the future as an alternative to an American base would be a Russian base in Syunik, which could guarantee the territorial integrity of Armenia” (если вдруг в Армении появится ответственный руководитель, он должен понимать, что будущего у Армении без России нет. А будущее – как альтернатива американской базе российская база в Сюнике, которая могла бы гарантировать целостность Армении/esli vdrug v Armenii poyavitsya otvetstvennyy rukovoditel', on dolzhen ponimat', chto budushchego u Armenii bez Rossii net. A budushcheye – kak al'ternativa amerikanskoy baze rossiyskaya baza v Syunike, kotoraya mogla by garantirivat' tselostnost' Armenii) was a recurring feature of semi-official discourse I had the chance to observe across numerous Telegram channels as well as in the broader discursive material of the actors previously examined. In this way, Russia maintained its attachment to the victim and continued to insist that it seeks to protect it, even though the Armenian government increasingly refused to accept its role as hero-protector. </w:t>
      </w:r>
    </w:p>
    <w:p w14:paraId="018B4542" w14:textId="77777777" w:rsidR="00532DD4" w:rsidRPr="00E24034" w:rsidRDefault="00532DD4" w:rsidP="00AC5A4C">
      <w:pPr>
        <w:pStyle w:val="Titolo2"/>
        <w:ind w:firstLine="283"/>
      </w:pPr>
      <w:bookmarkStart w:id="79" w:name="_Toc215742689"/>
      <w:r>
        <w:t>Conclusion</w:t>
      </w:r>
      <w:bookmarkEnd w:id="79"/>
    </w:p>
    <w:p w14:paraId="585828EC" w14:textId="77777777" w:rsidR="00300A40" w:rsidRDefault="00271D80" w:rsidP="00300A40">
      <w:pPr>
        <w:pStyle w:val="Paragrafoelenco"/>
        <w:spacing w:before="176"/>
        <w:ind w:left="283" w:right="420" w:firstLine="360"/>
        <w:rPr>
          <w:szCs w:val="24"/>
          <w:lang w:eastAsia="it-IT"/>
        </w:rPr>
      </w:pPr>
      <w:r w:rsidRPr="00300A40">
        <w:rPr>
          <w:szCs w:val="24"/>
          <w:lang w:eastAsia="it-IT"/>
        </w:rPr>
        <w:t>This chapter has shown how the hero-protector narrative functioned as the central framework through which Russia constructed and sustained its quest for ontological security during the Nagorno-Karabakh conflict. Across the three critical junctures examined, the roles of hero-protector, victim, aggressor, and coward emerged, evolved, and interacted in ways that illuminate both Russian self-perception and its expectations of deference from Armenia. Anxiety stemming from the legacy of the Russian Empire in the Caucasus had a major influence on Russian actors’ perceived (mis)recognition of the hero-protector role, which articulated threats, vulnerabilities, and moral obligations tied to their country’s relationship with Armenia.</w:t>
      </w:r>
    </w:p>
    <w:p w14:paraId="4AA00FC5" w14:textId="77777777" w:rsidR="00300A40" w:rsidRDefault="00271D80" w:rsidP="00300A40">
      <w:pPr>
        <w:pStyle w:val="Paragrafoelenco"/>
        <w:spacing w:before="176"/>
        <w:ind w:left="283" w:right="420" w:firstLine="360"/>
        <w:rPr>
          <w:szCs w:val="24"/>
          <w:lang w:eastAsia="it-IT"/>
        </w:rPr>
      </w:pPr>
      <w:r w:rsidRPr="00300A40">
        <w:rPr>
          <w:szCs w:val="24"/>
          <w:lang w:eastAsia="it-IT"/>
        </w:rPr>
        <w:t>During the initial period from 2015 to 2018, Russian actors actively advanced the narrative at both official and semi-official levels. Russian actors emphasized the continuity between the symbolic security guarantees that the Russian Empire provided to Armenians and Russia's current involvement in the Nagorno-Karabakh conflict, consistently portraying their nation as the hero-protector. This role promoted an attitude of self-worth, closely tied to notions of honor and ontological security, while also invoking feelings of compassion, empathy, and moral responsibility. This dynamic justified the asymmetric relationship between Russia and Armenia as a benevolent act of protection.</w:t>
      </w:r>
    </w:p>
    <w:p w14:paraId="18A95848"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In this context, Azerbaijan and Turkey were portrayed as malevolent aggressors whose actions were dehumanized and characterized as genocidal. Although official discourse refrained from explicitly identifying the aggressors, possibly to prevent polarization between Baku and Ankara or to demonstrate deference to Yerevan, semi-official discourse did so. Semi-official efforts aimed to uphold the compassion framework regarding the victim's role while simultaneously cultivating a sense of fear within Armenia to induce deference, reminiscent of the strategies employed by the Russian Empire to secure Armenian endorsement as a security guarantor. Based on their tone, a deficiency in deference could expose Yerevan to the risk of renewed atrocities committed by its longstanding adversaries. </w:t>
      </w:r>
    </w:p>
    <w:p w14:paraId="31E6CD8D" w14:textId="77777777" w:rsidR="00300A40" w:rsidRDefault="00271D80" w:rsidP="00300A40">
      <w:pPr>
        <w:pStyle w:val="Paragrafoelenco"/>
        <w:spacing w:before="176"/>
        <w:ind w:left="283" w:right="420" w:firstLine="360"/>
        <w:rPr>
          <w:szCs w:val="24"/>
          <w:lang w:eastAsia="it-IT"/>
        </w:rPr>
      </w:pPr>
      <w:r w:rsidRPr="00300A40">
        <w:rPr>
          <w:szCs w:val="24"/>
          <w:lang w:eastAsia="it-IT"/>
        </w:rPr>
        <w:t>At this critical juncture, the role that appeared to hold limited importance was that of the coward. I propose that this dynamic is closely connected to the substantial deference shown by Armenian officials toward Russia during that period. Subtle references were made to episodes of intermittent tensions between the two countries in 2015 and 2016, mainly involving Western and Armenian individuals voicing discontent with their nation's foreign policy direction. The depiction of the hero-protector narrative encountered significant tensions in 2018, aligning with the Velvet Revolution that brought Pashinyan to power. Although official actors seemed to disregard this important event, the semi-official discourse responded with evident apprehension and anxiety regarding the new Armenian leadership and its perception of Russia. This discomfort was expressed through numerous commentaries and statements from these actors, who conveyed their frustration and anger towards Pashinyan and called upon him to exhibit proper deference to the protector.</w:t>
      </w:r>
    </w:p>
    <w:p w14:paraId="3C731385"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 second period, which encompassed the 44-day war in 2020 and the ensuing escalations between Armenia and Azerbaijan leading up to Azerbaijan's blockade enforcement in Nagorno-Karabakh, highlighted a significant transformation in these roles. While Russia maintained its self-image as a hero-protector, semi-official discourse amplified frustration and anger toward Armenia’s political choices and perceived inadequacies in honoring its relationship with Russia. The aggressor role, previously embodied by Azerbaijan, gradually receded. It was replaced by the depiction of Armenia’s leadership as cowardly. This shift reflected anxiety over Russia’s inability to rely fully on its partner and complicated the moral hierarchy of protection. </w:t>
      </w:r>
    </w:p>
    <w:p w14:paraId="47B13CE9" w14:textId="77777777" w:rsidR="00300A40" w:rsidRDefault="00271D80" w:rsidP="00300A40">
      <w:pPr>
        <w:pStyle w:val="Paragrafoelenco"/>
        <w:spacing w:before="176"/>
        <w:ind w:left="283" w:right="420" w:firstLine="360"/>
        <w:rPr>
          <w:szCs w:val="24"/>
          <w:lang w:eastAsia="it-IT"/>
        </w:rPr>
      </w:pPr>
      <w:r w:rsidRPr="00300A40">
        <w:rPr>
          <w:szCs w:val="24"/>
          <w:lang w:eastAsia="it-IT"/>
        </w:rPr>
        <w:t xml:space="preserve">The concluding phase, marked by the disintegration of the Republic of Artsakh in 2023 and the effective cessation of the Nagorno-Karabakh, revealed that, while the hero-protector narrative was under considerable strain, Russian actors continued to promote it. Within this new setting, Russia continued to position itself as a hero-protector, sustaining its moral authority despite limitations in its capacity for material intervention caused by the war in Ukraine. Anxiety not only endured but also escalated, driven by perceptions of Armenia's misrecognition of its role as a hero-protector. In this context, both official and semi-official narratives unequivocally attributed cowardice to Armenia’s government, undermining the hero-protector's effort and betraying their collective memory. </w:t>
      </w:r>
    </w:p>
    <w:p w14:paraId="7DDD6A8C" w14:textId="549918E7" w:rsidR="00532DD4" w:rsidRDefault="00271D80" w:rsidP="00B2423C">
      <w:pPr>
        <w:pStyle w:val="Paragrafoelenco"/>
        <w:spacing w:before="176"/>
        <w:ind w:left="283" w:right="420" w:firstLine="360"/>
        <w:rPr>
          <w:smallCaps/>
          <w:szCs w:val="24"/>
        </w:rPr>
      </w:pPr>
      <w:r w:rsidRPr="00300A40">
        <w:rPr>
          <w:szCs w:val="24"/>
          <w:lang w:eastAsia="it-IT"/>
        </w:rPr>
        <w:t>Therefore, at this point, the role of the aggressor nearly vanished, as the narrative turned introspective, illuminating Armenia’s moral and strategic shortcomings rather than external perils. These discussions emphasized Yerevan’s betrayals of collective memory and its endeavors to reinterpret the past, attributing responsibility to Moscow for its inability to prevent the Azerbaijani offensive in Nagorno-Karabakh. Collectively, the transformation of these roles and sequences within the hero-protector narrative illustrated that this framework was neither static nor unchanging. It was fluid and relational, with shifts that mirrored the emotional responses of Russian actors to evolving Armenian policies, as well as their attempts to avoid ontological insecurity</w:t>
      </w:r>
      <w:r w:rsidRPr="00300A40">
        <w:rPr>
          <w:smallCaps/>
          <w:szCs w:val="24"/>
        </w:rPr>
        <w:t xml:space="preserve">.  </w:t>
      </w:r>
    </w:p>
    <w:p w14:paraId="105D37A1" w14:textId="632BC991" w:rsidR="00AD4774" w:rsidRDefault="00AD4774" w:rsidP="00B2423C">
      <w:pPr>
        <w:pStyle w:val="Paragrafoelenco"/>
        <w:spacing w:before="176"/>
        <w:ind w:left="283" w:right="420" w:firstLine="360"/>
        <w:rPr>
          <w:szCs w:val="24"/>
          <w:lang w:eastAsia="it-IT"/>
        </w:rPr>
      </w:pPr>
    </w:p>
    <w:p w14:paraId="21E0B4B7" w14:textId="5C8114C8" w:rsidR="00AD4774" w:rsidRDefault="00AD4774" w:rsidP="00B2423C">
      <w:pPr>
        <w:pStyle w:val="Paragrafoelenco"/>
        <w:spacing w:before="176"/>
        <w:ind w:left="283" w:right="420" w:firstLine="360"/>
        <w:rPr>
          <w:szCs w:val="24"/>
          <w:lang w:eastAsia="it-IT"/>
        </w:rPr>
      </w:pPr>
    </w:p>
    <w:p w14:paraId="5F072268" w14:textId="45F6B452" w:rsidR="00AD4774" w:rsidRDefault="00AD4774" w:rsidP="00B2423C">
      <w:pPr>
        <w:pStyle w:val="Paragrafoelenco"/>
        <w:spacing w:before="176"/>
        <w:ind w:left="283" w:right="420" w:firstLine="360"/>
        <w:rPr>
          <w:szCs w:val="24"/>
          <w:lang w:eastAsia="it-IT"/>
        </w:rPr>
      </w:pPr>
    </w:p>
    <w:p w14:paraId="24708921" w14:textId="0DFEEDCE" w:rsidR="00AD4774" w:rsidRDefault="00AD4774" w:rsidP="00B2423C">
      <w:pPr>
        <w:pStyle w:val="Paragrafoelenco"/>
        <w:spacing w:before="176"/>
        <w:ind w:left="283" w:right="420" w:firstLine="360"/>
        <w:rPr>
          <w:szCs w:val="24"/>
          <w:lang w:eastAsia="it-IT"/>
        </w:rPr>
      </w:pPr>
    </w:p>
    <w:p w14:paraId="07F5A386" w14:textId="07BF7F27" w:rsidR="00AD4774" w:rsidRDefault="00AD4774" w:rsidP="00B2423C">
      <w:pPr>
        <w:pStyle w:val="Paragrafoelenco"/>
        <w:spacing w:before="176"/>
        <w:ind w:left="283" w:right="420" w:firstLine="360"/>
        <w:rPr>
          <w:szCs w:val="24"/>
          <w:lang w:eastAsia="it-IT"/>
        </w:rPr>
      </w:pPr>
    </w:p>
    <w:p w14:paraId="587DBC81" w14:textId="51378255" w:rsidR="00AD4774" w:rsidRDefault="00AD4774" w:rsidP="00B2423C">
      <w:pPr>
        <w:pStyle w:val="Paragrafoelenco"/>
        <w:spacing w:before="176"/>
        <w:ind w:left="283" w:right="420" w:firstLine="360"/>
        <w:rPr>
          <w:szCs w:val="24"/>
          <w:lang w:eastAsia="it-IT"/>
        </w:rPr>
      </w:pPr>
    </w:p>
    <w:p w14:paraId="598FE9AB" w14:textId="62F862B7" w:rsidR="00AD4774" w:rsidRDefault="00AD4774" w:rsidP="00B2423C">
      <w:pPr>
        <w:pStyle w:val="Paragrafoelenco"/>
        <w:spacing w:before="176"/>
        <w:ind w:left="283" w:right="420" w:firstLine="360"/>
        <w:rPr>
          <w:szCs w:val="24"/>
          <w:lang w:eastAsia="it-IT"/>
        </w:rPr>
      </w:pPr>
    </w:p>
    <w:p w14:paraId="6DEFEE4B" w14:textId="0EADA5D1" w:rsidR="00AD4774" w:rsidRDefault="00AD4774" w:rsidP="00B2423C">
      <w:pPr>
        <w:pStyle w:val="Paragrafoelenco"/>
        <w:spacing w:before="176"/>
        <w:ind w:left="283" w:right="420" w:firstLine="360"/>
        <w:rPr>
          <w:szCs w:val="24"/>
          <w:lang w:eastAsia="it-IT"/>
        </w:rPr>
      </w:pPr>
    </w:p>
    <w:p w14:paraId="36BF01A4" w14:textId="72048206" w:rsidR="00AD4774" w:rsidRDefault="00AD4774" w:rsidP="00B2423C">
      <w:pPr>
        <w:pStyle w:val="Paragrafoelenco"/>
        <w:spacing w:before="176"/>
        <w:ind w:left="283" w:right="420" w:firstLine="360"/>
        <w:rPr>
          <w:szCs w:val="24"/>
          <w:lang w:eastAsia="it-IT"/>
        </w:rPr>
      </w:pPr>
    </w:p>
    <w:p w14:paraId="31FD1B23" w14:textId="6199E936" w:rsidR="00AD4774" w:rsidRDefault="00AD4774" w:rsidP="00B2423C">
      <w:pPr>
        <w:pStyle w:val="Paragrafoelenco"/>
        <w:spacing w:before="176"/>
        <w:ind w:left="283" w:right="420" w:firstLine="360"/>
        <w:rPr>
          <w:szCs w:val="24"/>
          <w:lang w:eastAsia="it-IT"/>
        </w:rPr>
      </w:pPr>
    </w:p>
    <w:p w14:paraId="68949914" w14:textId="687D8AFB" w:rsidR="00AD4774" w:rsidRDefault="00AD4774" w:rsidP="00B2423C">
      <w:pPr>
        <w:pStyle w:val="Paragrafoelenco"/>
        <w:spacing w:before="176"/>
        <w:ind w:left="283" w:right="420" w:firstLine="360"/>
        <w:rPr>
          <w:szCs w:val="24"/>
          <w:lang w:eastAsia="it-IT"/>
        </w:rPr>
      </w:pPr>
    </w:p>
    <w:p w14:paraId="3349A922" w14:textId="03334451" w:rsidR="00AD4774" w:rsidRDefault="00AD4774" w:rsidP="00B2423C">
      <w:pPr>
        <w:pStyle w:val="Paragrafoelenco"/>
        <w:spacing w:before="176"/>
        <w:ind w:left="283" w:right="420" w:firstLine="360"/>
        <w:rPr>
          <w:szCs w:val="24"/>
          <w:lang w:eastAsia="it-IT"/>
        </w:rPr>
      </w:pPr>
    </w:p>
    <w:p w14:paraId="60D086EE" w14:textId="4BCF47A9" w:rsidR="00AD4774" w:rsidRDefault="00AD4774" w:rsidP="00B2423C">
      <w:pPr>
        <w:pStyle w:val="Paragrafoelenco"/>
        <w:spacing w:before="176"/>
        <w:ind w:left="283" w:right="420" w:firstLine="360"/>
        <w:rPr>
          <w:szCs w:val="24"/>
          <w:lang w:eastAsia="it-IT"/>
        </w:rPr>
      </w:pPr>
    </w:p>
    <w:p w14:paraId="69FD0C2A" w14:textId="60CC4AB5" w:rsidR="00AD4774" w:rsidRDefault="00AD4774" w:rsidP="00B2423C">
      <w:pPr>
        <w:pStyle w:val="Paragrafoelenco"/>
        <w:spacing w:before="176"/>
        <w:ind w:left="283" w:right="420" w:firstLine="360"/>
        <w:rPr>
          <w:szCs w:val="24"/>
          <w:lang w:eastAsia="it-IT"/>
        </w:rPr>
      </w:pPr>
    </w:p>
    <w:p w14:paraId="185AE3D6" w14:textId="5494BBF2" w:rsidR="00AD4774" w:rsidRDefault="00AD4774" w:rsidP="00B2423C">
      <w:pPr>
        <w:pStyle w:val="Paragrafoelenco"/>
        <w:spacing w:before="176"/>
        <w:ind w:left="283" w:right="420" w:firstLine="360"/>
        <w:rPr>
          <w:szCs w:val="24"/>
          <w:lang w:eastAsia="it-IT"/>
        </w:rPr>
      </w:pPr>
    </w:p>
    <w:p w14:paraId="68FB2840" w14:textId="4E853DC9" w:rsidR="00AD4774" w:rsidRDefault="00AD4774" w:rsidP="00B2423C">
      <w:pPr>
        <w:pStyle w:val="Paragrafoelenco"/>
        <w:spacing w:before="176"/>
        <w:ind w:left="283" w:right="420" w:firstLine="360"/>
        <w:rPr>
          <w:szCs w:val="24"/>
          <w:lang w:eastAsia="it-IT"/>
        </w:rPr>
      </w:pPr>
    </w:p>
    <w:p w14:paraId="68A01FC2" w14:textId="77777777" w:rsidR="00AD4774" w:rsidRPr="005662D8" w:rsidRDefault="00AD4774" w:rsidP="00B2423C">
      <w:pPr>
        <w:pStyle w:val="Paragrafoelenco"/>
        <w:spacing w:before="176"/>
        <w:ind w:left="283" w:right="420" w:firstLine="360"/>
        <w:rPr>
          <w:szCs w:val="24"/>
          <w:lang w:eastAsia="it-IT"/>
        </w:rPr>
      </w:pPr>
    </w:p>
    <w:p w14:paraId="2F320DB1" w14:textId="4F9E51DD" w:rsidR="00644D8F" w:rsidRDefault="00300A40" w:rsidP="005662D8">
      <w:pPr>
        <w:pStyle w:val="Titolo1"/>
      </w:pPr>
      <w:bookmarkStart w:id="80" w:name="_Toc215742690"/>
      <w:r>
        <w:t>7. Conclusion and Findings</w:t>
      </w:r>
      <w:bookmarkEnd w:id="80"/>
      <w:r w:rsidR="00644D8F" w:rsidRPr="00561F9F">
        <w:t xml:space="preserve"> </w:t>
      </w:r>
    </w:p>
    <w:p w14:paraId="07B772C4" w14:textId="74DBA279" w:rsidR="005662D8" w:rsidRDefault="005662D8" w:rsidP="005662D8">
      <w:pPr>
        <w:pStyle w:val="Titolo2"/>
      </w:pPr>
      <w:bookmarkStart w:id="81" w:name="_Toc215742691"/>
      <w:r>
        <w:t>7.1. Preliminary Findings</w:t>
      </w:r>
      <w:bookmarkEnd w:id="81"/>
    </w:p>
    <w:p w14:paraId="6779EF1C" w14:textId="44507316" w:rsidR="00881092" w:rsidRDefault="00881092" w:rsidP="00881092">
      <w:r>
        <w:t xml:space="preserve">My analysis indicates that at each of the three critical junctures of the Nagorno-Karabakh conflict examined, Russian official and semi-official discourse consistently relied on core aspects of the hero-protector narrative in order to sustain their politics of deference concerning Armenia. As demonstrated throughout the chapters, the depiction of Russia as a hero-protector was grounded in the legacy of the Russian Empire and endured throughout the Soviet period, during which the portrayal of Russia transitioned from that of a morally superior and Christian power to that of an elder brother more closely aligned with state ideology. Both official and semi-official actors subsequently carried this legacy into the contemporary period, associating it with Russia’s function as an ally and security provider for Yerevan during the Nagorno-Karabakh conflict. </w:t>
      </w:r>
    </w:p>
    <w:p w14:paraId="0E361C41" w14:textId="5D5BEEA1" w:rsidR="00881092" w:rsidRDefault="00881092" w:rsidP="00881092">
      <w:r>
        <w:t xml:space="preserve">Russian actors employed the hero-protector narrative framework during the Armenian-Azerbaijani dispute not only to strategically legitimize the Kremlin’s involvement in the security affairs of the South Caucasus and to establish a tangible physical, economic, and military presence in Armenia but also to endow its engagement with significance for the Russian post-Soviet Self. In this context, the revival of the Tsarist Empire's legacy strengthened a perception of moral hierarchy and honor regarding the former periphery, now independent nations.  </w:t>
      </w:r>
    </w:p>
    <w:p w14:paraId="489AD0B4" w14:textId="2ADE75F3" w:rsidR="00881092" w:rsidRDefault="00881092" w:rsidP="00881092">
      <w:r>
        <w:t xml:space="preserve">However, as I contended, Russia’s politics of deference resembled the Hegelian master-slave dialectic, whereby the master's identity is contingent upon recognition from the servant, even as the latter influences and shapes the former. In a similar vein, Russia's self-perception as a protector was contingent upon the recognition of a protected Other, specifically Armenia, which allowed it to affirm its moral authority. Thus, since Putin’s 2015 address at the commemoration of the Armenian Genocide in Yerevan, Russian actors have consistently depicted Russia as a virtuous and benevolent hero-protector and an honest intermediary committed to preventing bloodshed in the conflict. Armenia and the Armenian people were portrayed as vulnerable victims whose historical suffering was acknowledged as tragic and whose survival and destiny consistently relied on Russian protection.  </w:t>
      </w:r>
    </w:p>
    <w:p w14:paraId="5653B25D" w14:textId="7DCC66ED" w:rsidR="00881092" w:rsidRDefault="00881092" w:rsidP="00881092">
      <w:r>
        <w:t xml:space="preserve">The subsequent table delineates the character archetypes within the hero-protector narrative, the actions prompting Russian actors to align with these roles, and the emotional categories evident in Russian discourse, derived from my methodological integration of EDA and thematic analysis.  </w:t>
      </w:r>
    </w:p>
    <w:tbl>
      <w:tblPr>
        <w:tblW w:w="954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40"/>
        <w:gridCol w:w="2521"/>
        <w:gridCol w:w="2340"/>
        <w:gridCol w:w="2340"/>
      </w:tblGrid>
      <w:tr w:rsidR="00881092" w:rsidRPr="00881092" w14:paraId="557DFB28" w14:textId="77777777" w:rsidTr="008B7CBF">
        <w:trPr>
          <w:trHeight w:val="300"/>
        </w:trPr>
        <w:tc>
          <w:tcPr>
            <w:tcW w:w="2340" w:type="dxa"/>
            <w:tcBorders>
              <w:top w:val="single" w:sz="6" w:space="0" w:color="auto"/>
              <w:left w:val="single" w:sz="6" w:space="0" w:color="auto"/>
              <w:bottom w:val="single" w:sz="6" w:space="0" w:color="000000"/>
              <w:right w:val="single" w:sz="6" w:space="0" w:color="000000"/>
            </w:tcBorders>
            <w:shd w:val="clear" w:color="auto" w:fill="auto"/>
            <w:hideMark/>
          </w:tcPr>
          <w:p w14:paraId="5D2E0943"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ROLES</w:t>
            </w:r>
            <w:r w:rsidRPr="00881092">
              <w:rPr>
                <w:color w:val="000000"/>
                <w:sz w:val="20"/>
                <w:szCs w:val="20"/>
                <w:lang w:val="it-IT" w:eastAsia="it-IT"/>
              </w:rPr>
              <w:t> </w:t>
            </w:r>
          </w:p>
        </w:tc>
        <w:tc>
          <w:tcPr>
            <w:tcW w:w="2521" w:type="dxa"/>
            <w:tcBorders>
              <w:top w:val="single" w:sz="6" w:space="0" w:color="auto"/>
              <w:left w:val="single" w:sz="6" w:space="0" w:color="000000"/>
              <w:bottom w:val="single" w:sz="6" w:space="0" w:color="000000"/>
              <w:right w:val="single" w:sz="6" w:space="0" w:color="000000"/>
            </w:tcBorders>
            <w:shd w:val="clear" w:color="auto" w:fill="auto"/>
            <w:hideMark/>
          </w:tcPr>
          <w:p w14:paraId="4A26359E"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ACTORS</w:t>
            </w:r>
            <w:r w:rsidRPr="00881092">
              <w:rPr>
                <w:color w:val="000000"/>
                <w:sz w:val="20"/>
                <w:szCs w:val="20"/>
                <w:lang w:val="it-IT" w:eastAsia="it-IT"/>
              </w:rPr>
              <w:t> </w:t>
            </w:r>
          </w:p>
        </w:tc>
        <w:tc>
          <w:tcPr>
            <w:tcW w:w="2340" w:type="dxa"/>
            <w:tcBorders>
              <w:top w:val="single" w:sz="6" w:space="0" w:color="auto"/>
              <w:left w:val="single" w:sz="6" w:space="0" w:color="000000"/>
              <w:bottom w:val="single" w:sz="6" w:space="0" w:color="000000"/>
              <w:right w:val="single" w:sz="6" w:space="0" w:color="000000"/>
            </w:tcBorders>
            <w:shd w:val="clear" w:color="auto" w:fill="auto"/>
            <w:hideMark/>
          </w:tcPr>
          <w:p w14:paraId="36E3C5E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ACTIONS</w:t>
            </w:r>
            <w:r w:rsidRPr="00881092">
              <w:rPr>
                <w:color w:val="000000"/>
                <w:sz w:val="20"/>
                <w:szCs w:val="20"/>
                <w:lang w:val="it-IT" w:eastAsia="it-IT"/>
              </w:rPr>
              <w:t> </w:t>
            </w:r>
          </w:p>
        </w:tc>
        <w:tc>
          <w:tcPr>
            <w:tcW w:w="2340" w:type="dxa"/>
            <w:tcBorders>
              <w:top w:val="single" w:sz="6" w:space="0" w:color="auto"/>
              <w:left w:val="single" w:sz="6" w:space="0" w:color="000000"/>
              <w:bottom w:val="single" w:sz="6" w:space="0" w:color="000000"/>
              <w:right w:val="single" w:sz="6" w:space="0" w:color="auto"/>
            </w:tcBorders>
            <w:shd w:val="clear" w:color="auto" w:fill="auto"/>
            <w:hideMark/>
          </w:tcPr>
          <w:p w14:paraId="5B2C81D7"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EMOTION-SIGNIFYING WORDS</w:t>
            </w:r>
            <w:r w:rsidRPr="00881092">
              <w:rPr>
                <w:color w:val="000000"/>
                <w:sz w:val="20"/>
                <w:szCs w:val="20"/>
                <w:lang w:val="it-IT" w:eastAsia="it-IT"/>
              </w:rPr>
              <w:t> </w:t>
            </w:r>
          </w:p>
        </w:tc>
      </w:tr>
      <w:tr w:rsidR="00881092" w:rsidRPr="00881092" w14:paraId="277E7A33" w14:textId="77777777" w:rsidTr="008B7CBF">
        <w:trPr>
          <w:trHeight w:val="300"/>
        </w:trPr>
        <w:tc>
          <w:tcPr>
            <w:tcW w:w="2340" w:type="dxa"/>
            <w:tcBorders>
              <w:top w:val="single" w:sz="6" w:space="0" w:color="000000"/>
              <w:left w:val="single" w:sz="6" w:space="0" w:color="auto"/>
              <w:bottom w:val="single" w:sz="6" w:space="0" w:color="000000"/>
              <w:right w:val="single" w:sz="6" w:space="0" w:color="000000"/>
            </w:tcBorders>
            <w:shd w:val="clear" w:color="auto" w:fill="auto"/>
            <w:hideMark/>
          </w:tcPr>
          <w:p w14:paraId="26813F10" w14:textId="2B2641D1" w:rsidR="00881092" w:rsidRPr="00881092" w:rsidRDefault="00881092" w:rsidP="003A2B4A">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475D0761"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56F0E16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72047CC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Hero-Protector</w:t>
            </w:r>
            <w:r w:rsidRPr="00881092">
              <w:rPr>
                <w:color w:val="000000"/>
                <w:sz w:val="20"/>
                <w:szCs w:val="20"/>
                <w:lang w:val="it-IT" w:eastAsia="it-IT"/>
              </w:rPr>
              <w:t> </w:t>
            </w:r>
          </w:p>
          <w:p w14:paraId="3134570E"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3FFC8FB9"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eastAsia="it-IT"/>
              </w:rPr>
              <w:t>.</w:t>
            </w:r>
            <w:r w:rsidRPr="00881092">
              <w:rPr>
                <w:color w:val="000000"/>
                <w:sz w:val="20"/>
                <w:szCs w:val="20"/>
                <w:lang w:val="it-IT" w:eastAsia="it-IT"/>
              </w:rPr>
              <w:t> </w:t>
            </w:r>
          </w:p>
          <w:p w14:paraId="57228BAA" w14:textId="77777777" w:rsidR="00881092" w:rsidRPr="00881092" w:rsidRDefault="00881092" w:rsidP="008B7CBF">
            <w:pPr>
              <w:widowControl/>
              <w:autoSpaceDE/>
              <w:autoSpaceDN/>
              <w:spacing w:after="0" w:line="240" w:lineRule="auto"/>
              <w:ind w:firstLine="0"/>
              <w:jc w:val="left"/>
              <w:textAlignment w:val="baseline"/>
              <w:rPr>
                <w:rFonts w:ascii="Segoe UI" w:hAnsi="Segoe UI" w:cs="Segoe UI"/>
                <w:sz w:val="18"/>
                <w:szCs w:val="18"/>
                <w:lang w:val="it-IT" w:eastAsia="it-IT"/>
              </w:rPr>
            </w:pPr>
            <w:r w:rsidRPr="00881092">
              <w:rPr>
                <w:color w:val="000000"/>
                <w:sz w:val="20"/>
                <w:szCs w:val="20"/>
                <w:lang w:val="it-IT" w:eastAsia="it-IT"/>
              </w:rPr>
              <w:t> </w:t>
            </w:r>
          </w:p>
        </w:tc>
        <w:tc>
          <w:tcPr>
            <w:tcW w:w="2521" w:type="dxa"/>
            <w:tcBorders>
              <w:top w:val="single" w:sz="6" w:space="0" w:color="000000"/>
              <w:left w:val="single" w:sz="6" w:space="0" w:color="000000"/>
              <w:bottom w:val="single" w:sz="6" w:space="0" w:color="000000"/>
              <w:right w:val="single" w:sz="6" w:space="0" w:color="000000"/>
            </w:tcBorders>
            <w:shd w:val="clear" w:color="auto" w:fill="auto"/>
            <w:hideMark/>
          </w:tcPr>
          <w:p w14:paraId="4A7BAE18" w14:textId="75B7C398" w:rsidR="00881092" w:rsidRPr="00881092" w:rsidRDefault="00881092" w:rsidP="003A2B4A">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05D2B90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0011AB2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b/>
                <w:bCs/>
                <w:color w:val="000000"/>
                <w:sz w:val="20"/>
                <w:szCs w:val="20"/>
                <w:lang w:eastAsia="it-IT"/>
              </w:rPr>
              <w:t>Russia</w:t>
            </w:r>
            <w:r w:rsidRPr="00881092">
              <w:rPr>
                <w:color w:val="000000"/>
                <w:sz w:val="20"/>
                <w:szCs w:val="20"/>
                <w:lang w:eastAsia="it-IT"/>
              </w:rPr>
              <w:t> </w:t>
            </w:r>
          </w:p>
          <w:p w14:paraId="40E07819"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b/>
                <w:bCs/>
                <w:color w:val="000000"/>
                <w:sz w:val="20"/>
                <w:szCs w:val="20"/>
                <w:lang w:eastAsia="it-IT"/>
              </w:rPr>
              <w:t>Russian Empire</w:t>
            </w:r>
            <w:r w:rsidRPr="00881092">
              <w:rPr>
                <w:color w:val="000000"/>
                <w:sz w:val="20"/>
                <w:szCs w:val="20"/>
                <w:lang w:eastAsia="it-IT"/>
              </w:rPr>
              <w:t> </w:t>
            </w:r>
          </w:p>
          <w:p w14:paraId="7E6C2B00"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b/>
                <w:bCs/>
                <w:color w:val="000000"/>
                <w:sz w:val="20"/>
                <w:szCs w:val="20"/>
                <w:lang w:eastAsia="it-IT"/>
              </w:rPr>
              <w:t>President Vladimir Putin</w:t>
            </w:r>
            <w:r w:rsidRPr="00881092">
              <w:rPr>
                <w:color w:val="000000"/>
                <w:sz w:val="20"/>
                <w:szCs w:val="20"/>
                <w:lang w:eastAsia="it-IT"/>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08E50A32" w14:textId="77777777" w:rsidR="003A2B4A" w:rsidRDefault="00881092" w:rsidP="003A2B4A">
            <w:pPr>
              <w:widowControl/>
              <w:autoSpaceDE/>
              <w:autoSpaceDN/>
              <w:spacing w:after="0" w:line="240" w:lineRule="auto"/>
              <w:ind w:firstLine="0"/>
              <w:jc w:val="center"/>
              <w:textAlignment w:val="baseline"/>
              <w:rPr>
                <w:color w:val="000000"/>
                <w:sz w:val="20"/>
                <w:szCs w:val="20"/>
                <w:lang w:eastAsia="it-IT"/>
              </w:rPr>
            </w:pPr>
            <w:r w:rsidRPr="00881092">
              <w:rPr>
                <w:color w:val="000000"/>
                <w:sz w:val="20"/>
                <w:szCs w:val="20"/>
                <w:lang w:eastAsia="it-IT"/>
              </w:rPr>
              <w:t> </w:t>
            </w:r>
          </w:p>
          <w:p w14:paraId="188BF82A" w14:textId="2C927025" w:rsidR="00881092" w:rsidRPr="00881092" w:rsidRDefault="00881092" w:rsidP="003A2B4A">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4CBC2C03"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Providing Security and Stability </w:t>
            </w:r>
          </w:p>
          <w:p w14:paraId="69F1573D"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6AACAB6E"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Providing a Shelter </w:t>
            </w:r>
          </w:p>
        </w:tc>
        <w:tc>
          <w:tcPr>
            <w:tcW w:w="2340" w:type="dxa"/>
            <w:tcBorders>
              <w:top w:val="single" w:sz="6" w:space="0" w:color="000000"/>
              <w:left w:val="single" w:sz="6" w:space="0" w:color="000000"/>
              <w:bottom w:val="single" w:sz="6" w:space="0" w:color="000000"/>
              <w:right w:val="single" w:sz="6" w:space="0" w:color="auto"/>
            </w:tcBorders>
            <w:shd w:val="clear" w:color="auto" w:fill="auto"/>
            <w:hideMark/>
          </w:tcPr>
          <w:p w14:paraId="7D3986DB" w14:textId="77777777" w:rsidR="00881092" w:rsidRPr="00881092" w:rsidRDefault="00881092" w:rsidP="003A2B4A">
            <w:pPr>
              <w:widowControl/>
              <w:autoSpaceDE/>
              <w:autoSpaceDN/>
              <w:spacing w:after="0" w:line="240" w:lineRule="auto"/>
              <w:ind w:firstLine="0"/>
              <w:textAlignment w:val="baseline"/>
              <w:rPr>
                <w:rFonts w:ascii="Segoe UI" w:hAnsi="Segoe UI" w:cs="Segoe UI"/>
                <w:sz w:val="18"/>
                <w:szCs w:val="18"/>
                <w:lang w:eastAsia="it-IT"/>
              </w:rPr>
            </w:pPr>
            <w:r w:rsidRPr="00881092">
              <w:rPr>
                <w:color w:val="000000"/>
                <w:sz w:val="20"/>
                <w:szCs w:val="20"/>
                <w:lang w:eastAsia="it-IT"/>
              </w:rPr>
              <w:t>  </w:t>
            </w:r>
          </w:p>
          <w:p w14:paraId="22F76EFB"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Moral Duty  </w:t>
            </w:r>
          </w:p>
          <w:p w14:paraId="09694A8F"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Pride </w:t>
            </w:r>
          </w:p>
          <w:p w14:paraId="275E0C58"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Care </w:t>
            </w:r>
          </w:p>
          <w:p w14:paraId="5E0C4EE1"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Compassion </w:t>
            </w:r>
          </w:p>
          <w:p w14:paraId="085A129A" w14:textId="0F5837A2" w:rsidR="00881092" w:rsidRPr="003A2B4A" w:rsidRDefault="00881092" w:rsidP="003A2B4A">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Empathy </w:t>
            </w:r>
            <w:r w:rsidRPr="003A2B4A">
              <w:rPr>
                <w:color w:val="000000"/>
                <w:sz w:val="20"/>
                <w:szCs w:val="20"/>
                <w:lang w:eastAsia="it-IT"/>
              </w:rPr>
              <w:t> </w:t>
            </w:r>
          </w:p>
          <w:p w14:paraId="41104045" w14:textId="465AF999" w:rsidR="00881092" w:rsidRPr="00881092" w:rsidRDefault="00881092" w:rsidP="003A2B4A">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eastAsia="it-IT"/>
              </w:rPr>
              <w:t>Sympathy</w:t>
            </w:r>
            <w:r w:rsidRPr="00881092">
              <w:rPr>
                <w:color w:val="000000"/>
                <w:sz w:val="20"/>
                <w:szCs w:val="20"/>
                <w:lang w:val="it-IT" w:eastAsia="it-IT"/>
              </w:rPr>
              <w:t>  </w:t>
            </w:r>
          </w:p>
        </w:tc>
      </w:tr>
      <w:tr w:rsidR="00881092" w:rsidRPr="00881092" w14:paraId="10B9817B" w14:textId="77777777" w:rsidTr="008B7CBF">
        <w:trPr>
          <w:trHeight w:val="300"/>
        </w:trPr>
        <w:tc>
          <w:tcPr>
            <w:tcW w:w="2340" w:type="dxa"/>
            <w:tcBorders>
              <w:top w:val="single" w:sz="6" w:space="0" w:color="000000"/>
              <w:left w:val="single" w:sz="6" w:space="0" w:color="auto"/>
              <w:bottom w:val="single" w:sz="6" w:space="0" w:color="000000"/>
              <w:right w:val="single" w:sz="6" w:space="0" w:color="000000"/>
            </w:tcBorders>
            <w:shd w:val="clear" w:color="auto" w:fill="auto"/>
            <w:hideMark/>
          </w:tcPr>
          <w:p w14:paraId="3A22CCE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641C3DC4"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2A7A85B6"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3968541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726F8A77"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Victim</w:t>
            </w:r>
            <w:r w:rsidRPr="00881092">
              <w:rPr>
                <w:color w:val="000000"/>
                <w:sz w:val="20"/>
                <w:szCs w:val="20"/>
                <w:lang w:val="it-IT" w:eastAsia="it-IT"/>
              </w:rPr>
              <w:t> </w:t>
            </w:r>
          </w:p>
          <w:p w14:paraId="3C1FDE55"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2DA13A52"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tc>
        <w:tc>
          <w:tcPr>
            <w:tcW w:w="2521" w:type="dxa"/>
            <w:tcBorders>
              <w:top w:val="single" w:sz="6" w:space="0" w:color="000000"/>
              <w:left w:val="single" w:sz="6" w:space="0" w:color="000000"/>
              <w:bottom w:val="single" w:sz="6" w:space="0" w:color="000000"/>
              <w:right w:val="single" w:sz="6" w:space="0" w:color="000000"/>
            </w:tcBorders>
            <w:shd w:val="clear" w:color="auto" w:fill="auto"/>
            <w:hideMark/>
          </w:tcPr>
          <w:p w14:paraId="1D4734A8"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4FBBD4D7"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73E124B4"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1F49FD1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Armenia</w:t>
            </w:r>
            <w:r w:rsidRPr="00881092">
              <w:rPr>
                <w:color w:val="000000"/>
                <w:sz w:val="20"/>
                <w:szCs w:val="20"/>
                <w:lang w:val="it-IT" w:eastAsia="it-IT"/>
              </w:rPr>
              <w:t> </w:t>
            </w:r>
          </w:p>
          <w:p w14:paraId="747FEE6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Armenian People; Artsakh/Nagorno-Karabakh</w:t>
            </w:r>
            <w:r w:rsidRPr="00881092">
              <w:rPr>
                <w:color w:val="000000"/>
                <w:sz w:val="20"/>
                <w:szCs w:val="20"/>
                <w:lang w:val="it-IT" w:eastAsia="it-IT"/>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6AEA5124"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3A37BD00"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075A8AA3"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Impossibility to defend itself </w:t>
            </w:r>
          </w:p>
          <w:p w14:paraId="37853654"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0C820751"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Loyalty to a benevolent protector to pursue survival </w:t>
            </w:r>
          </w:p>
          <w:p w14:paraId="735F56E2"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2B951F9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tc>
        <w:tc>
          <w:tcPr>
            <w:tcW w:w="2340" w:type="dxa"/>
            <w:tcBorders>
              <w:top w:val="single" w:sz="6" w:space="0" w:color="000000"/>
              <w:left w:val="single" w:sz="6" w:space="0" w:color="000000"/>
              <w:bottom w:val="single" w:sz="6" w:space="0" w:color="000000"/>
              <w:right w:val="single" w:sz="6" w:space="0" w:color="auto"/>
            </w:tcBorders>
            <w:shd w:val="clear" w:color="auto" w:fill="auto"/>
            <w:hideMark/>
          </w:tcPr>
          <w:p w14:paraId="12EA2865"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3C1C6F2D"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29E1EBF0"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Chaos </w:t>
            </w:r>
          </w:p>
          <w:p w14:paraId="5B2520D1"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Grief </w:t>
            </w:r>
          </w:p>
          <w:p w14:paraId="3A68C878"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Pain </w:t>
            </w:r>
          </w:p>
          <w:p w14:paraId="60DF7590"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Survival </w:t>
            </w:r>
          </w:p>
          <w:p w14:paraId="77AE0A92"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Fear </w:t>
            </w:r>
          </w:p>
          <w:p w14:paraId="6AD88D81"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Gratitude </w:t>
            </w:r>
          </w:p>
        </w:tc>
      </w:tr>
      <w:tr w:rsidR="00881092" w:rsidRPr="00881092" w14:paraId="42AD2B7A" w14:textId="77777777" w:rsidTr="008B7CBF">
        <w:trPr>
          <w:trHeight w:val="300"/>
        </w:trPr>
        <w:tc>
          <w:tcPr>
            <w:tcW w:w="2340" w:type="dxa"/>
            <w:tcBorders>
              <w:top w:val="single" w:sz="6" w:space="0" w:color="000000"/>
              <w:left w:val="single" w:sz="6" w:space="0" w:color="auto"/>
              <w:bottom w:val="single" w:sz="6" w:space="0" w:color="000000"/>
              <w:right w:val="single" w:sz="6" w:space="0" w:color="000000"/>
            </w:tcBorders>
            <w:shd w:val="clear" w:color="auto" w:fill="auto"/>
            <w:hideMark/>
          </w:tcPr>
          <w:p w14:paraId="37A909A6"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6AE40775"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48FF11C2"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7C591BD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018EC5B4"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5D434AC1"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Perverse Aggressor</w:t>
            </w:r>
            <w:r w:rsidRPr="00881092">
              <w:rPr>
                <w:color w:val="000000"/>
                <w:sz w:val="20"/>
                <w:szCs w:val="20"/>
                <w:lang w:val="it-IT" w:eastAsia="it-IT"/>
              </w:rPr>
              <w:t> </w:t>
            </w:r>
          </w:p>
          <w:p w14:paraId="7997A913" w14:textId="77777777" w:rsidR="00881092" w:rsidRPr="00881092" w:rsidRDefault="00881092" w:rsidP="008B7CBF">
            <w:pPr>
              <w:widowControl/>
              <w:autoSpaceDE/>
              <w:autoSpaceDN/>
              <w:spacing w:after="0" w:line="240" w:lineRule="auto"/>
              <w:ind w:firstLine="0"/>
              <w:jc w:val="left"/>
              <w:textAlignment w:val="baseline"/>
              <w:rPr>
                <w:rFonts w:ascii="Segoe UI" w:hAnsi="Segoe UI" w:cs="Segoe UI"/>
                <w:sz w:val="18"/>
                <w:szCs w:val="18"/>
                <w:lang w:val="it-IT" w:eastAsia="it-IT"/>
              </w:rPr>
            </w:pPr>
            <w:r w:rsidRPr="00881092">
              <w:rPr>
                <w:color w:val="000000"/>
                <w:sz w:val="20"/>
                <w:szCs w:val="20"/>
                <w:lang w:val="it-IT" w:eastAsia="it-IT"/>
              </w:rPr>
              <w:t> </w:t>
            </w:r>
          </w:p>
          <w:p w14:paraId="4A3E36D6"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tc>
        <w:tc>
          <w:tcPr>
            <w:tcW w:w="2521" w:type="dxa"/>
            <w:tcBorders>
              <w:top w:val="single" w:sz="6" w:space="0" w:color="000000"/>
              <w:left w:val="single" w:sz="6" w:space="0" w:color="000000"/>
              <w:bottom w:val="single" w:sz="6" w:space="0" w:color="000000"/>
              <w:right w:val="single" w:sz="6" w:space="0" w:color="000000"/>
            </w:tcBorders>
            <w:shd w:val="clear" w:color="auto" w:fill="auto"/>
            <w:hideMark/>
          </w:tcPr>
          <w:p w14:paraId="4FCA902D"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2909DF6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7ACCFA3D"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24A8E55B"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7E739CCF"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b/>
                <w:bCs/>
                <w:color w:val="000000"/>
                <w:sz w:val="20"/>
                <w:szCs w:val="20"/>
                <w:lang w:eastAsia="it-IT"/>
              </w:rPr>
              <w:t>“Ottoman Empire,” “Undefined enemy ”,  “Turkey”; “Azerbaijan”, </w:t>
            </w:r>
            <w:r w:rsidRPr="00881092">
              <w:rPr>
                <w:color w:val="000000"/>
                <w:sz w:val="20"/>
                <w:szCs w:val="20"/>
                <w:lang w:eastAsia="it-IT"/>
              </w:rPr>
              <w:t> </w:t>
            </w:r>
          </w:p>
        </w:tc>
        <w:tc>
          <w:tcPr>
            <w:tcW w:w="2340" w:type="dxa"/>
            <w:tcBorders>
              <w:top w:val="single" w:sz="6" w:space="0" w:color="000000"/>
              <w:left w:val="single" w:sz="6" w:space="0" w:color="000000"/>
              <w:bottom w:val="single" w:sz="6" w:space="0" w:color="000000"/>
              <w:right w:val="single" w:sz="6" w:space="0" w:color="000000"/>
            </w:tcBorders>
            <w:shd w:val="clear" w:color="auto" w:fill="auto"/>
            <w:hideMark/>
          </w:tcPr>
          <w:p w14:paraId="3453BFB7"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0BEE958B"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5AEBA29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1CC9D520"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0601E4AD"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11AE6F3B"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eastAsia="it-IT"/>
              </w:rPr>
              <w:t>Destroying Armenia</w:t>
            </w:r>
            <w:r w:rsidRPr="00881092">
              <w:rPr>
                <w:color w:val="000000"/>
                <w:sz w:val="20"/>
                <w:szCs w:val="20"/>
                <w:lang w:val="it-IT" w:eastAsia="it-IT"/>
              </w:rPr>
              <w:t> </w:t>
            </w:r>
          </w:p>
        </w:tc>
        <w:tc>
          <w:tcPr>
            <w:tcW w:w="2340" w:type="dxa"/>
            <w:tcBorders>
              <w:top w:val="single" w:sz="6" w:space="0" w:color="000000"/>
              <w:left w:val="single" w:sz="6" w:space="0" w:color="000000"/>
              <w:bottom w:val="single" w:sz="6" w:space="0" w:color="000000"/>
              <w:right w:val="single" w:sz="6" w:space="0" w:color="auto"/>
            </w:tcBorders>
            <w:shd w:val="clear" w:color="auto" w:fill="auto"/>
            <w:hideMark/>
          </w:tcPr>
          <w:p w14:paraId="6BEDEE9E"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21E8087B"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5D9A0B82"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79B8563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eastAsia="it-IT"/>
              </w:rPr>
              <w:t>Dark</w:t>
            </w:r>
            <w:r w:rsidRPr="00881092">
              <w:rPr>
                <w:color w:val="000000"/>
                <w:sz w:val="20"/>
                <w:szCs w:val="20"/>
                <w:lang w:val="it-IT" w:eastAsia="it-IT"/>
              </w:rPr>
              <w:t> </w:t>
            </w:r>
          </w:p>
          <w:p w14:paraId="2FD13E19"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eastAsia="it-IT"/>
              </w:rPr>
              <w:t>Death</w:t>
            </w:r>
            <w:r w:rsidRPr="00881092">
              <w:rPr>
                <w:color w:val="000000"/>
                <w:sz w:val="20"/>
                <w:szCs w:val="20"/>
                <w:lang w:val="it-IT" w:eastAsia="it-IT"/>
              </w:rPr>
              <w:t> </w:t>
            </w:r>
          </w:p>
          <w:p w14:paraId="09481A21"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eastAsia="it-IT"/>
              </w:rPr>
              <w:t>Envy</w:t>
            </w:r>
            <w:r w:rsidRPr="00881092">
              <w:rPr>
                <w:color w:val="000000"/>
                <w:sz w:val="20"/>
                <w:szCs w:val="20"/>
                <w:lang w:val="it-IT" w:eastAsia="it-IT"/>
              </w:rPr>
              <w:t> </w:t>
            </w:r>
          </w:p>
          <w:p w14:paraId="2E1F1DAF"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eastAsia="it-IT"/>
              </w:rPr>
              <w:t>Hatred</w:t>
            </w:r>
            <w:r w:rsidRPr="00881092">
              <w:rPr>
                <w:color w:val="000000"/>
                <w:sz w:val="20"/>
                <w:szCs w:val="20"/>
                <w:lang w:val="it-IT" w:eastAsia="it-IT"/>
              </w:rPr>
              <w:t> </w:t>
            </w:r>
          </w:p>
          <w:p w14:paraId="7AC2972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162E293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03F0A9C2"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tc>
      </w:tr>
      <w:tr w:rsidR="00881092" w:rsidRPr="00881092" w14:paraId="5572BC30" w14:textId="77777777" w:rsidTr="008B7CBF">
        <w:trPr>
          <w:trHeight w:val="300"/>
        </w:trPr>
        <w:tc>
          <w:tcPr>
            <w:tcW w:w="2340" w:type="dxa"/>
            <w:tcBorders>
              <w:top w:val="single" w:sz="6" w:space="0" w:color="000000"/>
              <w:left w:val="single" w:sz="6" w:space="0" w:color="auto"/>
              <w:bottom w:val="single" w:sz="6" w:space="0" w:color="auto"/>
              <w:right w:val="single" w:sz="6" w:space="0" w:color="000000"/>
            </w:tcBorders>
            <w:shd w:val="clear" w:color="auto" w:fill="auto"/>
            <w:hideMark/>
          </w:tcPr>
          <w:p w14:paraId="0869C369"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5C7A4FAF"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5B4FE3C9"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22E26F7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63DBBD3D"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Coward</w:t>
            </w:r>
            <w:r w:rsidRPr="00881092">
              <w:rPr>
                <w:color w:val="000000"/>
                <w:sz w:val="20"/>
                <w:szCs w:val="20"/>
                <w:lang w:eastAsia="it-IT"/>
              </w:rPr>
              <w:t> </w:t>
            </w:r>
            <w:r w:rsidRPr="00881092">
              <w:rPr>
                <w:color w:val="000000"/>
                <w:sz w:val="20"/>
                <w:szCs w:val="20"/>
                <w:lang w:val="it-IT" w:eastAsia="it-IT"/>
              </w:rPr>
              <w:t> </w:t>
            </w:r>
          </w:p>
          <w:p w14:paraId="7FF7BB27" w14:textId="77777777" w:rsidR="00881092" w:rsidRPr="00881092" w:rsidRDefault="00881092" w:rsidP="008B7CBF">
            <w:pPr>
              <w:widowControl/>
              <w:autoSpaceDE/>
              <w:autoSpaceDN/>
              <w:spacing w:after="0" w:line="240" w:lineRule="auto"/>
              <w:ind w:firstLine="0"/>
              <w:jc w:val="left"/>
              <w:textAlignment w:val="baseline"/>
              <w:rPr>
                <w:rFonts w:ascii="Segoe UI" w:hAnsi="Segoe UI" w:cs="Segoe UI"/>
                <w:sz w:val="18"/>
                <w:szCs w:val="18"/>
                <w:lang w:val="it-IT" w:eastAsia="it-IT"/>
              </w:rPr>
            </w:pPr>
            <w:r w:rsidRPr="00881092">
              <w:rPr>
                <w:color w:val="000000"/>
                <w:sz w:val="20"/>
                <w:szCs w:val="20"/>
                <w:lang w:val="it-IT" w:eastAsia="it-IT"/>
              </w:rPr>
              <w:t> </w:t>
            </w:r>
          </w:p>
          <w:p w14:paraId="5DD3B9E2"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tc>
        <w:tc>
          <w:tcPr>
            <w:tcW w:w="2521" w:type="dxa"/>
            <w:tcBorders>
              <w:top w:val="single" w:sz="6" w:space="0" w:color="000000"/>
              <w:left w:val="single" w:sz="6" w:space="0" w:color="000000"/>
              <w:bottom w:val="single" w:sz="6" w:space="0" w:color="auto"/>
              <w:right w:val="single" w:sz="6" w:space="0" w:color="000000"/>
            </w:tcBorders>
            <w:shd w:val="clear" w:color="auto" w:fill="auto"/>
            <w:hideMark/>
          </w:tcPr>
          <w:p w14:paraId="1E8EF08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6CAEA503"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02FD5DD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4D062E1D"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0123F80A"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Armenian Government</w:t>
            </w:r>
            <w:r w:rsidRPr="00881092">
              <w:rPr>
                <w:color w:val="000000"/>
                <w:sz w:val="20"/>
                <w:szCs w:val="20"/>
                <w:lang w:val="it-IT" w:eastAsia="it-IT"/>
              </w:rPr>
              <w:t> </w:t>
            </w:r>
          </w:p>
          <w:p w14:paraId="5BEF5885"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0823CBB3"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b/>
                <w:bCs/>
                <w:color w:val="000000"/>
                <w:sz w:val="20"/>
                <w:szCs w:val="20"/>
                <w:lang w:eastAsia="it-IT"/>
              </w:rPr>
              <w:t>West</w:t>
            </w:r>
            <w:r w:rsidRPr="00881092">
              <w:rPr>
                <w:color w:val="000000"/>
                <w:sz w:val="20"/>
                <w:szCs w:val="20"/>
                <w:lang w:val="it-IT" w:eastAsia="it-IT"/>
              </w:rPr>
              <w:t> </w:t>
            </w:r>
          </w:p>
        </w:tc>
        <w:tc>
          <w:tcPr>
            <w:tcW w:w="2340" w:type="dxa"/>
            <w:tcBorders>
              <w:top w:val="single" w:sz="6" w:space="0" w:color="000000"/>
              <w:left w:val="single" w:sz="6" w:space="0" w:color="000000"/>
              <w:bottom w:val="single" w:sz="6" w:space="0" w:color="auto"/>
              <w:right w:val="single" w:sz="6" w:space="0" w:color="000000"/>
            </w:tcBorders>
            <w:shd w:val="clear" w:color="auto" w:fill="auto"/>
            <w:hideMark/>
          </w:tcPr>
          <w:p w14:paraId="604A47C0"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1CAF73A8"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Betrayal </w:t>
            </w:r>
          </w:p>
          <w:p w14:paraId="11F4C4E2"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7631C533"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Revisionism (Condemnation of Old and New policies) </w:t>
            </w:r>
          </w:p>
          <w:p w14:paraId="6E673115"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07D2E0B4"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eastAsia="it-IT"/>
              </w:rPr>
              <w:t>Moral Corruption</w:t>
            </w:r>
            <w:r w:rsidRPr="00881092">
              <w:rPr>
                <w:color w:val="000000"/>
                <w:sz w:val="20"/>
                <w:szCs w:val="20"/>
                <w:lang w:val="it-IT" w:eastAsia="it-IT"/>
              </w:rPr>
              <w:t> </w:t>
            </w:r>
          </w:p>
          <w:p w14:paraId="4003066C"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p w14:paraId="4F1A3D71"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val="it-IT" w:eastAsia="it-IT"/>
              </w:rPr>
            </w:pPr>
            <w:r w:rsidRPr="00881092">
              <w:rPr>
                <w:color w:val="000000"/>
                <w:sz w:val="20"/>
                <w:szCs w:val="20"/>
                <w:lang w:val="it-IT" w:eastAsia="it-IT"/>
              </w:rPr>
              <w:t> </w:t>
            </w:r>
          </w:p>
        </w:tc>
        <w:tc>
          <w:tcPr>
            <w:tcW w:w="2340" w:type="dxa"/>
            <w:tcBorders>
              <w:top w:val="single" w:sz="6" w:space="0" w:color="000000"/>
              <w:left w:val="single" w:sz="6" w:space="0" w:color="000000"/>
              <w:bottom w:val="single" w:sz="6" w:space="0" w:color="auto"/>
              <w:right w:val="single" w:sz="6" w:space="0" w:color="auto"/>
            </w:tcBorders>
            <w:shd w:val="clear" w:color="auto" w:fill="auto"/>
            <w:hideMark/>
          </w:tcPr>
          <w:p w14:paraId="3CB3FA95"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5FA0FA7F"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 </w:t>
            </w:r>
          </w:p>
          <w:p w14:paraId="3DB6C835"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Dishonesty  </w:t>
            </w:r>
          </w:p>
          <w:p w14:paraId="282B6C93"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Distrust </w:t>
            </w:r>
          </w:p>
          <w:p w14:paraId="24F11CA5"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Anger </w:t>
            </w:r>
          </w:p>
          <w:p w14:paraId="50E4A63B"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Hypocrisy </w:t>
            </w:r>
          </w:p>
          <w:p w14:paraId="6EC9F96D" w14:textId="77777777" w:rsidR="00881092" w:rsidRPr="00881092" w:rsidRDefault="00881092" w:rsidP="008B7CBF">
            <w:pPr>
              <w:widowControl/>
              <w:autoSpaceDE/>
              <w:autoSpaceDN/>
              <w:spacing w:after="0" w:line="240" w:lineRule="auto"/>
              <w:ind w:firstLine="0"/>
              <w:jc w:val="center"/>
              <w:textAlignment w:val="baseline"/>
              <w:rPr>
                <w:rFonts w:ascii="Segoe UI" w:hAnsi="Segoe UI" w:cs="Segoe UI"/>
                <w:sz w:val="18"/>
                <w:szCs w:val="18"/>
                <w:lang w:eastAsia="it-IT"/>
              </w:rPr>
            </w:pPr>
            <w:r w:rsidRPr="00881092">
              <w:rPr>
                <w:color w:val="000000"/>
                <w:sz w:val="20"/>
                <w:szCs w:val="20"/>
                <w:lang w:eastAsia="it-IT"/>
              </w:rPr>
              <w:t>Injustice </w:t>
            </w:r>
          </w:p>
        </w:tc>
      </w:tr>
    </w:tbl>
    <w:p w14:paraId="443C7AE3" w14:textId="4B869107" w:rsidR="00881092" w:rsidRDefault="00881092" w:rsidP="00881092">
      <w:pPr>
        <w:pStyle w:val="Didascalia"/>
        <w:keepNext/>
        <w:ind w:firstLine="0"/>
      </w:pPr>
    </w:p>
    <w:p w14:paraId="274C7331" w14:textId="2A2AD824" w:rsidR="00881092" w:rsidRPr="00881092" w:rsidRDefault="00881092" w:rsidP="00881092">
      <w:pPr>
        <w:pStyle w:val="Didascalia"/>
        <w:keepNext/>
        <w:rPr>
          <w:color w:val="auto"/>
          <w:sz w:val="20"/>
          <w:szCs w:val="20"/>
        </w:rPr>
      </w:pPr>
      <w:bookmarkStart w:id="82" w:name="_Toc215742702"/>
      <w:r w:rsidRPr="00881092">
        <w:rPr>
          <w:color w:val="auto"/>
          <w:sz w:val="20"/>
          <w:szCs w:val="20"/>
        </w:rPr>
        <w:t xml:space="preserve">Table </w:t>
      </w:r>
      <w:r w:rsidRPr="00881092">
        <w:rPr>
          <w:color w:val="auto"/>
          <w:sz w:val="20"/>
          <w:szCs w:val="20"/>
        </w:rPr>
        <w:fldChar w:fldCharType="begin"/>
      </w:r>
      <w:r w:rsidRPr="00881092">
        <w:rPr>
          <w:color w:val="auto"/>
          <w:sz w:val="20"/>
          <w:szCs w:val="20"/>
        </w:rPr>
        <w:instrText xml:space="preserve"> SEQ Table \* ARABIC </w:instrText>
      </w:r>
      <w:r w:rsidRPr="00881092">
        <w:rPr>
          <w:color w:val="auto"/>
          <w:sz w:val="20"/>
          <w:szCs w:val="20"/>
        </w:rPr>
        <w:fldChar w:fldCharType="separate"/>
      </w:r>
      <w:r w:rsidR="00105922">
        <w:rPr>
          <w:noProof/>
          <w:color w:val="auto"/>
          <w:sz w:val="20"/>
          <w:szCs w:val="20"/>
        </w:rPr>
        <w:t>2</w:t>
      </w:r>
      <w:r w:rsidRPr="00881092">
        <w:rPr>
          <w:color w:val="auto"/>
          <w:sz w:val="20"/>
          <w:szCs w:val="20"/>
        </w:rPr>
        <w:fldChar w:fldCharType="end"/>
      </w:r>
      <w:r w:rsidRPr="00881092">
        <w:rPr>
          <w:color w:val="auto"/>
          <w:sz w:val="20"/>
          <w:szCs w:val="20"/>
        </w:rPr>
        <w:t>: Roles within the Hero-Protector Framework (Source: the Author).</w:t>
      </w:r>
      <w:bookmarkEnd w:id="82"/>
    </w:p>
    <w:p w14:paraId="4FFB9A18" w14:textId="1AC8E02A" w:rsidR="00881092" w:rsidRDefault="00881092" w:rsidP="00881092">
      <w:r>
        <w:t xml:space="preserve">The initial narrative stage transpired when the hero-protector acknowledged the tragedy suffered by the victim, emphasizing the gravity of the aggressor’s actions and employing expressions related to death and suffering. On one hand, the hero-protector projected empathy, compassion, and sympathy towards the victim. Discursively, this sentiment was reflected in Russia’s perception of Armenian suffering as its own pain. On the other hand, the hero-protector mobilized history to evoke a sense of pride, linking the legacy of the past to Russia’s moral obligation to bring peace to Nagorno-Karabakh and, more broadly, to the South Caucasus. This connection ultimately reinforced Russia’s Self, imparting a sense of exceptionalism and moral superiority.  </w:t>
      </w:r>
    </w:p>
    <w:p w14:paraId="56FA5474" w14:textId="1E7493D0" w:rsidR="00881092" w:rsidRDefault="00881092" w:rsidP="00881092">
      <w:r>
        <w:t xml:space="preserve">Russian actors could not fully express their emotional attachment to the victim without the presence of a malevolent aggressor. In this sense, they relied on the fact that Armenian identity narratives unequivocally assign this role to Turkey and Azerbaijan, frequently portrayed as representations of a "Turkic threat" (Hovannisian 1971; Suny 1993; Shnirelman 2001; Libaridian 2007; Payaslian 2007). Nevertheless, the aggressor's name was not consistently articulated in Russian discourse, especially by official actors. This intentional exclusion may have aimed to safeguard Russia's diplomatic ties with Turkey and Azerbaijan. However, contingent upon the emotional tone of the text and the prevailing state of Russian–Armenian relations during the discourse, I assert that this choice also served as a strategy whereby Russian actors encouraged Armenia to exhibit increased deference and conformity to the hero-protector/victim dichotomy.  </w:t>
      </w:r>
    </w:p>
    <w:p w14:paraId="39128243" w14:textId="34E3B3C6" w:rsidR="00881092" w:rsidRDefault="00881092" w:rsidP="00881092">
      <w:r>
        <w:t xml:space="preserve">In contrast, semi-official sources tended to be more direct, often naming the Ottoman Empire, Turkey, and Azerbaijan as the aggressors. Notably, among these actors were not only members of the Armenian diaspora in Russia, who considered themselves as primary custodians of the legacy of the hero-protector, but also ethnic Russians and non-Armenians within the Russian information sphere who consistently expressed substantial support for the Armenian side in the Nagorno-Karabakh conflict. They expressed substantial support for the Armenian faction in the Nagorno-Karabakh conflict. They categorically identified these actors as aggressors and explicitly asserted that Russia, with its lineage originating from the Russian Empire, was committed to protecting the Armenian population of Nagorno-Karabakh from a new potential genocide.  </w:t>
      </w:r>
    </w:p>
    <w:p w14:paraId="51510A47" w14:textId="1F12F23C" w:rsidR="00881092" w:rsidRDefault="00881092" w:rsidP="00881092">
      <w:r>
        <w:t xml:space="preserve">The coward's role was attributed to the actor who, despite having the capacity to assist the hero-protector in supporting the victims, chose not to do so or even worked against their efforts. As demonstrated in the previous chapter, individuals in this category were not always perceived uniformly by Russian actors. The West occasionally assumed this role in Russian discourse, having historically failed to offer significant support to Armenia. Russian actors asserted Moreover, Russian actors assigned this role to the Armenian government, particularly when they felt Yerevan failed to demonstrate the required respect towards Russia. </w:t>
      </w:r>
    </w:p>
    <w:p w14:paraId="11F39EE4" w14:textId="79576714" w:rsidR="00881092" w:rsidRDefault="00881092" w:rsidP="00881092">
      <w:r>
        <w:t xml:space="preserve">My analysis indicates that the primary distinction between these critical junctures resides in the manner in which Russian actors delineated the roles of the characters within the narrative, particularly as they aimed to alleviate ontological insecurity. During a phase of seemingly unchallenged acceptance of the hero-protector paradigm, Russian narratives consistently upheld a stable evaluation of the hero-protector/victim dichotomy and aggressor framework. However, the responses of Armenian elites to the difficulties in Russian-Armenian relations amid the Nagorno-Karabakh conflict, which led them to repudiate Russia's role as a hero-protector, profoundly affected Russian perceptions of Armenia, engendering anxiety and prompting a shift in the narrative.  </w:t>
      </w:r>
    </w:p>
    <w:p w14:paraId="44BE447E" w14:textId="5C3602B6" w:rsidR="00881092" w:rsidRDefault="00881092" w:rsidP="00881092">
      <w:r>
        <w:t xml:space="preserve">Initially, only semi-official Russian actors engaged discursively to protect Russia from ontological insecurity, distinguishing between the Armenian people, portrayed as honorable victims, and the Armenian government, characterized as a cowardly and ungrateful beneficiary of Russian assistance that also sought to engage in historical revisionism. This is evidenced by the fact that during crises in Russian-Armenian relations, displays of compassion, empathy, and sympathy towards the victim shifted to expressions of anger, reminding Armenia that its survival relied on the intervention of the hero-protector and that its nation's future was contingent upon it. Subsequently, Russian officials openly adopted this narrative shift. Nevertheless, it should not be assumed that Russian semi-official discourse impacted the Kremlin's decision to adopt this narrative shift. Russian officials conveyed directives regarding the interpretation of the events of September 2023, as mentioned in the preceding chapter. </w:t>
      </w:r>
    </w:p>
    <w:p w14:paraId="28F4E7DB" w14:textId="5256705C" w:rsidR="00DE081D" w:rsidRPr="00DE081D" w:rsidRDefault="00881092" w:rsidP="00881092">
      <w:r>
        <w:t>This modification of the hero-narrative also holds significant relevance for the research question of this dissertation. For Russian actors, the acknowledgment of Armenia's acceptance of Russia's self-designated role as a hero-protector was essential for sustaining the politics of deference, thereby reinforcing Russia's presence in the South Caucasus as existentially meaningful. The discord between the Armenian government and its population provided Russian actors with the opportunity to accuse the former of betraying the latter by failing to recognize Russia as a vital security guarantor. This alteration in narrative served as a mechanism through which Russian actors endeavored to reconcile their nation's inability to meet its security commitments to Yerevan with its depiction as a hero-protector.</w:t>
      </w:r>
    </w:p>
    <w:p w14:paraId="5500A506" w14:textId="7CFF7826" w:rsidR="005662D8" w:rsidRDefault="005662D8" w:rsidP="005662D8">
      <w:pPr>
        <w:pStyle w:val="Titolo2"/>
      </w:pPr>
      <w:bookmarkStart w:id="83" w:name="_Toc215742692"/>
      <w:r>
        <w:t>7.2. Avenue for Future Research</w:t>
      </w:r>
      <w:bookmarkEnd w:id="83"/>
    </w:p>
    <w:p w14:paraId="40C00BE3" w14:textId="4CC23326" w:rsidR="00881092" w:rsidRDefault="00881092" w:rsidP="00881092">
      <w:r>
        <w:t xml:space="preserve">This dissertation provides conceptual and empirical pathways for future research on Russia’s ontological security and Moscow’s policies in the South Caucasus. </w:t>
      </w:r>
    </w:p>
    <w:p w14:paraId="42EF7709" w14:textId="513121DA" w:rsidR="00881092" w:rsidRDefault="00881092" w:rsidP="00881092">
      <w:r>
        <w:t xml:space="preserve">As outlined in the literature review, existing studies have predominantly examined Russia’s search for ontological security through its quest for horizontal relations with the West, whereby the latter has failed to acknowledge Moscow as a great power. This focus has overshadowed the significance of vertical dimensions of selfhood that are central to Russia’s identity, particularly those related to hierarchy, honor, and practices of deference. These vertical elements are not simply by-products of horizontal engagements; rather, they form part of the foundational structure through which Russia interprets its role in the post-Soviet space.  </w:t>
      </w:r>
    </w:p>
    <w:p w14:paraId="2C8B5B45" w14:textId="64EC9B5C" w:rsidR="00881092" w:rsidRDefault="00881092" w:rsidP="00881092">
      <w:r>
        <w:t xml:space="preserve">Therefore, future research should investigate how these hierarchical relationships shape Russian foreign policy, both within the South Caucasus and in other arenas where Moscow seeks recognition of its status and historical role. A particularly valuable direction for further inquiry involves the comparative analysis of conflicts in the post-Soviet space where Russia has established and maintained protectorate-like arrangements. The cases of Transnistria, South Ossetia, and Abkhazia offer important opportunities to explore how Russia reproduces practices of protection and moral authority. Extending the analysis to places where such relations existed during the Russian Empire, such as Georgia, would further illuminate how contemporary foreign policy is influenced by longer historical trajectories and ideas about regional guardianship. The 2008 war provides a particularly instructive example, as it highlights how different actors relate to Russia’s self-understanding as a hero-protector. While South Ossetia and Abkhazia largely affirmed this identity and recognized Moscow’s authority within a hierarchical framework, Georgia rejected it and instead portrayed Russia as an aggressor. This divergence in recognition illustrates the value of examining how Russia responds when its protector role is simultaneously validated by some actors and denied by others, and how such conflicting relational expectations shape its subsequent discourse, policy choices, and efforts to maintain ontological security. </w:t>
      </w:r>
    </w:p>
    <w:p w14:paraId="1F92AFCA" w14:textId="6410F93A" w:rsidR="00881092" w:rsidRDefault="00881092" w:rsidP="00881092">
      <w:r>
        <w:t xml:space="preserve">Future research may also benefit from a stronger engagement with the conceptual and analytical framework developed in this dissertation to examine broader patron–client relationships in international politics. This endeavor would allow scholars to investigate how affective expectations, symbolic obligations, and identity-affirming narratives contribute to the maintenance of asymmetrical ties.  </w:t>
      </w:r>
    </w:p>
    <w:p w14:paraId="6FB14210" w14:textId="596EA08A" w:rsidR="00881092" w:rsidRPr="00881092" w:rsidRDefault="00881092" w:rsidP="00881092">
      <w:r>
        <w:t xml:space="preserve">This dissertation has examined Russia's pursuit of ontological security through an analysis of both official state discourse and various actors within semi-official discourse, adhering to clearly defined criteria presented throughout the study. I believe this range of actors might also be considered for other studies concerning Russian discourse, as it presents potent emotional narratives that enhance the content of official discourse.  </w:t>
      </w:r>
    </w:p>
    <w:p w14:paraId="0C9FD18D" w14:textId="7EFB1B5B" w:rsidR="005662D8" w:rsidRDefault="005662D8" w:rsidP="005662D8">
      <w:pPr>
        <w:pStyle w:val="Titolo2"/>
      </w:pPr>
      <w:bookmarkStart w:id="84" w:name="_Toc215742693"/>
      <w:r>
        <w:t>7.3. Limitations</w:t>
      </w:r>
      <w:bookmarkEnd w:id="84"/>
    </w:p>
    <w:p w14:paraId="2AE7BFB7" w14:textId="25215C0E" w:rsidR="007F2C41" w:rsidRDefault="007F2C41" w:rsidP="007F2C41">
      <w:r>
        <w:t xml:space="preserve">All research projects encounter limitations and possible sources of interference, and this study is no different. I delineate four primary constraints, as outlined below. </w:t>
      </w:r>
    </w:p>
    <w:p w14:paraId="3B392A6B" w14:textId="0BD552A4" w:rsidR="007F2C41" w:rsidRDefault="007F2C41" w:rsidP="007F2C41">
      <w:r>
        <w:t xml:space="preserve">The first limitation pertains to the nature of my data, specifically the emotions intertwined with the hero-protector narrative, as well as the analytical approach I employ to substantiate my findings. Research on emotions in IR continues to grapple with significant challenges that require thought. Although they started to tackle methodological concerns systematically, there is still a notable absence of ongoing dialogue regarding the ontological, epistemological, and theoretical underpinnings of emotion research within the field (Clément &amp; Sangar 2017; Koschut 2022). Clément and Sangar (2017, 4) assert that the definitions of emotion are often subject to contention and may lack precision or clarity (Clément &amp; Sangar, 2017, 5). While there is a general consensus that emotions are influenced by social, cultural, and historical contexts, the selection of research methods is often driven by personal preference rather than a collective understanding of what constitutes emotions within the discipline (Hutchison &amp; Bleiker 2014).  </w:t>
      </w:r>
    </w:p>
    <w:p w14:paraId="49947A97" w14:textId="11D010FB" w:rsidR="007F2C41" w:rsidRDefault="007F2C41" w:rsidP="007F2C41">
      <w:r>
        <w:t xml:space="preserve">The second notable limitation pertains to the case study itself. This dissertation primarily examines the Armenian context and the Nagorno-Karabakh conflict. While this concentrated focus facilitates a thorough analysis, it also restricts the immediate applicability of the findings to other situations. Russia's role as a protector may change in other post-Soviet conflicts, like those in Georgia, South Ossetia, Abkhazia, or Transnistria, depending on the extent to which the patterns identified here are relevant across different regional contexts. </w:t>
      </w:r>
    </w:p>
    <w:p w14:paraId="2314CE20" w14:textId="762837E2" w:rsidR="007F2C41" w:rsidRDefault="007F2C41" w:rsidP="007F2C41">
      <w:r>
        <w:t xml:space="preserve">The third limitation pertains to the temporal scope of this dissertation. My study has analyzed Russian discourse from 2015 to 2024. Although this period captures significant developments following the 2020 Nagorno-Karabakh war, it does not comprehensively address the long-term historical evolution of Russia’s hero-protector image during the preceding years, specifically from 1988 to 2014. Certain dynamics may only become apparent when examined over extended historical periods, particularly in light of the varying presidencies of Boris Yeltsin and Dmitri Medvedev. </w:t>
      </w:r>
    </w:p>
    <w:p w14:paraId="025578A2" w14:textId="7034655C" w:rsidR="007F2C41" w:rsidRPr="007F2C41" w:rsidRDefault="007F2C41" w:rsidP="007F2C41">
      <w:r>
        <w:t xml:space="preserve">The fourth and final limitation of this study relates to the selection of Russian discourse actors, who were purposefully chosen due to my ongoing interest in Russian foreign policy in the South Caucasus and my frequent monitoring of Russian-Armenian relations. While these sources are crucial for understanding the construction of the hero-protector narrative, they may not fully encompass informal, internal, or dissenting viewpoints within Russian policymaking circles or semi-official environments. Consequently, some nuances of the hero-protector narrative may remain underexplored, potentially including perspectives from pro-Azerbaijani voices.  </w:t>
      </w:r>
    </w:p>
    <w:p w14:paraId="3ADB043A" w14:textId="77777777" w:rsidR="00833B62" w:rsidRPr="00833B62" w:rsidRDefault="00833B62" w:rsidP="00833B62"/>
    <w:p w14:paraId="2E44068F" w14:textId="77777777" w:rsidR="00644D8F" w:rsidRPr="00561F9F" w:rsidRDefault="00644D8F" w:rsidP="004F4D91">
      <w:pPr>
        <w:pStyle w:val="Paragrafoelenco"/>
        <w:spacing w:before="176"/>
        <w:ind w:left="283" w:right="420" w:firstLine="360"/>
        <w:rPr>
          <w:szCs w:val="24"/>
        </w:rPr>
      </w:pPr>
    </w:p>
    <w:p w14:paraId="02BC6BD4" w14:textId="77777777" w:rsidR="00644D8F" w:rsidRPr="00561F9F" w:rsidRDefault="00644D8F" w:rsidP="004F4D91">
      <w:pPr>
        <w:pStyle w:val="Paragrafoelenco"/>
        <w:spacing w:before="176"/>
        <w:ind w:left="283" w:right="420" w:firstLine="360"/>
        <w:rPr>
          <w:szCs w:val="24"/>
        </w:rPr>
      </w:pPr>
      <w:r w:rsidRPr="00561F9F">
        <w:rPr>
          <w:szCs w:val="24"/>
        </w:rPr>
        <w:t xml:space="preserve"> </w:t>
      </w:r>
    </w:p>
    <w:p w14:paraId="11814942" w14:textId="77777777" w:rsidR="00644D8F" w:rsidRPr="00561F9F" w:rsidRDefault="00644D8F" w:rsidP="004F4D91">
      <w:pPr>
        <w:pStyle w:val="Paragrafoelenco"/>
        <w:spacing w:before="176"/>
        <w:ind w:left="283" w:right="420" w:firstLine="360"/>
        <w:rPr>
          <w:szCs w:val="24"/>
        </w:rPr>
      </w:pPr>
    </w:p>
    <w:p w14:paraId="27E42705" w14:textId="77777777" w:rsidR="00644D8F" w:rsidRPr="00561F9F" w:rsidRDefault="00644D8F" w:rsidP="004F4D91">
      <w:pPr>
        <w:pStyle w:val="Paragrafoelenco"/>
        <w:spacing w:before="176"/>
        <w:ind w:left="283" w:right="420" w:firstLine="360"/>
        <w:rPr>
          <w:szCs w:val="24"/>
        </w:rPr>
      </w:pPr>
      <w:r w:rsidRPr="00561F9F">
        <w:rPr>
          <w:szCs w:val="24"/>
        </w:rPr>
        <w:t xml:space="preserve"> </w:t>
      </w:r>
    </w:p>
    <w:p w14:paraId="76B9C494" w14:textId="77777777" w:rsidR="00644D8F" w:rsidRPr="00561F9F" w:rsidRDefault="00644D8F" w:rsidP="004F4D91">
      <w:pPr>
        <w:pStyle w:val="Paragrafoelenco"/>
        <w:spacing w:before="176"/>
        <w:ind w:left="283" w:right="420" w:firstLine="360"/>
        <w:rPr>
          <w:szCs w:val="24"/>
        </w:rPr>
      </w:pPr>
    </w:p>
    <w:p w14:paraId="4FB752D5" w14:textId="77777777" w:rsidR="00644D8F" w:rsidRPr="00561F9F" w:rsidRDefault="00644D8F" w:rsidP="004F4D91">
      <w:pPr>
        <w:pStyle w:val="Paragrafoelenco"/>
        <w:spacing w:before="176"/>
        <w:ind w:left="283" w:right="420" w:firstLine="360"/>
        <w:rPr>
          <w:szCs w:val="24"/>
        </w:rPr>
      </w:pPr>
      <w:r w:rsidRPr="00561F9F">
        <w:rPr>
          <w:szCs w:val="24"/>
        </w:rPr>
        <w:t xml:space="preserve"> </w:t>
      </w:r>
    </w:p>
    <w:p w14:paraId="46F192F7" w14:textId="77777777" w:rsidR="00644D8F" w:rsidRPr="00561F9F" w:rsidRDefault="00644D8F" w:rsidP="004F4D91">
      <w:pPr>
        <w:pStyle w:val="Paragrafoelenco"/>
        <w:spacing w:before="176"/>
        <w:ind w:left="283" w:right="420" w:firstLine="360"/>
        <w:rPr>
          <w:szCs w:val="24"/>
        </w:rPr>
      </w:pPr>
    </w:p>
    <w:p w14:paraId="0897E8FB" w14:textId="77777777" w:rsidR="00AD4774" w:rsidRDefault="00AD4774" w:rsidP="004F4D91">
      <w:pPr>
        <w:pStyle w:val="Paragrafoelenco"/>
        <w:spacing w:before="176"/>
        <w:ind w:left="283" w:right="420" w:firstLine="360"/>
        <w:rPr>
          <w:szCs w:val="24"/>
        </w:rPr>
      </w:pPr>
    </w:p>
    <w:p w14:paraId="70001267" w14:textId="77777777" w:rsidR="00AD4774" w:rsidRDefault="00AD4774" w:rsidP="004F4D91">
      <w:pPr>
        <w:pStyle w:val="Paragrafoelenco"/>
        <w:spacing w:before="176"/>
        <w:ind w:left="283" w:right="420" w:firstLine="360"/>
        <w:rPr>
          <w:szCs w:val="24"/>
        </w:rPr>
      </w:pPr>
    </w:p>
    <w:p w14:paraId="16A48D73" w14:textId="77777777" w:rsidR="00AD4774" w:rsidRDefault="00AD4774" w:rsidP="004F4D91">
      <w:pPr>
        <w:pStyle w:val="Paragrafoelenco"/>
        <w:spacing w:before="176"/>
        <w:ind w:left="283" w:right="420" w:firstLine="360"/>
        <w:rPr>
          <w:szCs w:val="24"/>
        </w:rPr>
      </w:pPr>
    </w:p>
    <w:p w14:paraId="5B7745E6" w14:textId="77777777" w:rsidR="00AD4774" w:rsidRDefault="00AD4774" w:rsidP="004F4D91">
      <w:pPr>
        <w:pStyle w:val="Paragrafoelenco"/>
        <w:spacing w:before="176"/>
        <w:ind w:left="283" w:right="420" w:firstLine="360"/>
        <w:rPr>
          <w:szCs w:val="24"/>
        </w:rPr>
      </w:pPr>
    </w:p>
    <w:p w14:paraId="5BA365F5" w14:textId="77777777" w:rsidR="00AD4774" w:rsidRDefault="00AD4774" w:rsidP="004F4D91">
      <w:pPr>
        <w:pStyle w:val="Paragrafoelenco"/>
        <w:spacing w:before="176"/>
        <w:ind w:left="283" w:right="420" w:firstLine="360"/>
        <w:rPr>
          <w:szCs w:val="24"/>
        </w:rPr>
      </w:pPr>
    </w:p>
    <w:p w14:paraId="47726CC1" w14:textId="77777777" w:rsidR="00AD4774" w:rsidRDefault="00AD4774" w:rsidP="004F4D91">
      <w:pPr>
        <w:pStyle w:val="Paragrafoelenco"/>
        <w:spacing w:before="176"/>
        <w:ind w:left="283" w:right="420" w:firstLine="360"/>
        <w:rPr>
          <w:szCs w:val="24"/>
        </w:rPr>
      </w:pPr>
    </w:p>
    <w:p w14:paraId="5143356D" w14:textId="77777777" w:rsidR="00AD4774" w:rsidRDefault="00AD4774" w:rsidP="004F4D91">
      <w:pPr>
        <w:pStyle w:val="Paragrafoelenco"/>
        <w:spacing w:before="176"/>
        <w:ind w:left="283" w:right="420" w:firstLine="360"/>
        <w:rPr>
          <w:szCs w:val="24"/>
        </w:rPr>
      </w:pPr>
    </w:p>
    <w:p w14:paraId="42A552B1" w14:textId="77777777" w:rsidR="00AD4774" w:rsidRDefault="00AD4774" w:rsidP="004F4D91">
      <w:pPr>
        <w:pStyle w:val="Paragrafoelenco"/>
        <w:spacing w:before="176"/>
        <w:ind w:left="283" w:right="420" w:firstLine="360"/>
        <w:rPr>
          <w:szCs w:val="24"/>
        </w:rPr>
      </w:pPr>
    </w:p>
    <w:p w14:paraId="3C9FE28D" w14:textId="1A657E27" w:rsidR="00644D8F" w:rsidRPr="00561F9F" w:rsidRDefault="00644D8F" w:rsidP="004F4D91">
      <w:pPr>
        <w:pStyle w:val="Paragrafoelenco"/>
        <w:spacing w:before="176"/>
        <w:ind w:left="283" w:right="420" w:firstLine="360"/>
        <w:rPr>
          <w:szCs w:val="24"/>
        </w:rPr>
      </w:pPr>
      <w:r w:rsidRPr="00561F9F">
        <w:rPr>
          <w:szCs w:val="24"/>
        </w:rPr>
        <w:t xml:space="preserve">  </w:t>
      </w:r>
    </w:p>
    <w:p w14:paraId="6C8D479A" w14:textId="64BCA4C0" w:rsidR="005662D8" w:rsidRPr="00696F75" w:rsidRDefault="005662D8" w:rsidP="00696F75">
      <w:pPr>
        <w:spacing w:before="176"/>
        <w:ind w:right="420" w:firstLine="0"/>
        <w:rPr>
          <w:szCs w:val="24"/>
        </w:rPr>
      </w:pPr>
    </w:p>
    <w:p w14:paraId="546909CA" w14:textId="77A48154" w:rsidR="00300A40" w:rsidRPr="00300A40" w:rsidRDefault="00300A40" w:rsidP="005662D8">
      <w:pPr>
        <w:pStyle w:val="Titolo1"/>
      </w:pPr>
      <w:bookmarkStart w:id="85" w:name="_Toc215742694"/>
      <w:r>
        <w:t>8. Bibliography</w:t>
      </w:r>
      <w:bookmarkEnd w:id="85"/>
    </w:p>
    <w:p w14:paraId="7E727F5A" w14:textId="1BFF0D74" w:rsidR="00E9035E" w:rsidRPr="005662D8" w:rsidRDefault="00E9035E" w:rsidP="005662D8">
      <w:pPr>
        <w:pStyle w:val="NormaleWeb"/>
        <w:spacing w:line="240" w:lineRule="auto"/>
        <w:rPr>
          <w:sz w:val="20"/>
          <w:szCs w:val="20"/>
          <w:lang w:val="en-US"/>
        </w:rPr>
      </w:pPr>
      <w:r w:rsidRPr="005662D8">
        <w:rPr>
          <w:sz w:val="20"/>
          <w:szCs w:val="20"/>
          <w:lang w:val="en-US"/>
        </w:rPr>
        <w:t xml:space="preserve">“Armenia Sends Troops to Quell Kazakhstan Protests.” 2022. </w:t>
      </w:r>
      <w:r w:rsidRPr="005662D8">
        <w:rPr>
          <w:rStyle w:val="Enfasicorsivo"/>
          <w:sz w:val="20"/>
          <w:szCs w:val="20"/>
          <w:lang w:val="en-US"/>
        </w:rPr>
        <w:t>OC Media</w:t>
      </w:r>
      <w:r w:rsidRPr="005662D8">
        <w:rPr>
          <w:sz w:val="20"/>
          <w:szCs w:val="20"/>
          <w:lang w:val="en-US"/>
        </w:rPr>
        <w:t xml:space="preserve">, January 6. Available at: </w:t>
      </w:r>
      <w:hyperlink r:id="rId16" w:tgtFrame="_new" w:history="1">
        <w:r w:rsidRPr="005662D8">
          <w:rPr>
            <w:rStyle w:val="Collegamentoipertestuale"/>
            <w:sz w:val="20"/>
            <w:szCs w:val="20"/>
            <w:lang w:val="en-US"/>
          </w:rPr>
          <w:t>https://oc-media.org/armenia-sends-troops-to-quell-kazakhstan-protests/</w:t>
        </w:r>
      </w:hyperlink>
      <w:r w:rsidRPr="005662D8">
        <w:rPr>
          <w:sz w:val="20"/>
          <w:szCs w:val="20"/>
          <w:lang w:val="en-US"/>
        </w:rPr>
        <w:t xml:space="preserve"> (accessed on November 19, 2025).</w:t>
      </w:r>
    </w:p>
    <w:p w14:paraId="098CAD50"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“Armenia Strongly Supports Russia’s Stance on Syrian Issue.” 2016. </w:t>
      </w:r>
      <w:r w:rsidRPr="005662D8">
        <w:rPr>
          <w:rStyle w:val="Enfasicorsivo"/>
          <w:sz w:val="20"/>
          <w:szCs w:val="20"/>
          <w:lang w:val="en-US"/>
        </w:rPr>
        <w:t>TASS</w:t>
      </w:r>
      <w:r w:rsidRPr="005662D8">
        <w:rPr>
          <w:sz w:val="20"/>
          <w:szCs w:val="20"/>
          <w:lang w:val="en-US"/>
        </w:rPr>
        <w:t xml:space="preserve">, March 10. Available at: </w:t>
      </w:r>
      <w:hyperlink r:id="rId17" w:tgtFrame="_new" w:history="1">
        <w:r w:rsidRPr="005662D8">
          <w:rPr>
            <w:rStyle w:val="Collegamentoipertestuale"/>
            <w:sz w:val="20"/>
            <w:szCs w:val="20"/>
            <w:lang w:val="en-US"/>
          </w:rPr>
          <w:t>https://tass.com/world/861507</w:t>
        </w:r>
      </w:hyperlink>
      <w:r w:rsidRPr="005662D8">
        <w:rPr>
          <w:sz w:val="20"/>
          <w:szCs w:val="20"/>
          <w:lang w:val="en-US"/>
        </w:rPr>
        <w:t xml:space="preserve"> (accessed on November 19, 2025).</w:t>
      </w:r>
    </w:p>
    <w:p w14:paraId="74E19539"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“Armenia to Quit Russia-Led CSTO Military Alliance.” 2024. </w:t>
      </w:r>
      <w:r w:rsidRPr="005662D8">
        <w:rPr>
          <w:rStyle w:val="Enfasicorsivo"/>
          <w:sz w:val="20"/>
          <w:szCs w:val="20"/>
          <w:lang w:val="en-US"/>
        </w:rPr>
        <w:t>DW</w:t>
      </w:r>
      <w:r w:rsidRPr="005662D8">
        <w:rPr>
          <w:sz w:val="20"/>
          <w:szCs w:val="20"/>
          <w:lang w:val="en-US"/>
        </w:rPr>
        <w:t xml:space="preserve">, June 13. Available at: </w:t>
      </w:r>
      <w:hyperlink r:id="rId18" w:tgtFrame="_new" w:history="1">
        <w:r w:rsidRPr="005662D8">
          <w:rPr>
            <w:rStyle w:val="Collegamentoipertestuale"/>
            <w:sz w:val="20"/>
            <w:szCs w:val="20"/>
            <w:lang w:val="en-US"/>
          </w:rPr>
          <w:t>https://www.dw.com/en/armenia-to-leave-russian-led-csto-security-bloc/a-69348061</w:t>
        </w:r>
      </w:hyperlink>
      <w:r w:rsidRPr="005662D8">
        <w:rPr>
          <w:sz w:val="20"/>
          <w:szCs w:val="20"/>
          <w:lang w:val="en-US"/>
        </w:rPr>
        <w:t xml:space="preserve"> (accessed on November 19, 2025).</w:t>
      </w:r>
    </w:p>
    <w:p w14:paraId="0D26B0A2"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“Armenian church head receives Russian Medal.”2023. Azatutyun, January 11, Available at: </w:t>
      </w:r>
      <w:hyperlink r:id="rId19" w:history="1">
        <w:r w:rsidRPr="005662D8">
          <w:rPr>
            <w:rStyle w:val="Collegamentoipertestuale"/>
            <w:sz w:val="20"/>
            <w:szCs w:val="20"/>
            <w:lang w:val="en-US"/>
          </w:rPr>
          <w:t>https://www.azatutyun.am/a/32219303.html</w:t>
        </w:r>
      </w:hyperlink>
      <w:r w:rsidRPr="005662D8">
        <w:rPr>
          <w:sz w:val="20"/>
          <w:szCs w:val="20"/>
          <w:lang w:val="en-US"/>
        </w:rPr>
        <w:t>. (accessed on November 23, 2025).</w:t>
      </w:r>
    </w:p>
    <w:p w14:paraId="2052F352"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“Armenian Pilots ‘Risk Starving in Eq. Guinea Jail.’” 2009. </w:t>
      </w:r>
      <w:r w:rsidRPr="005662D8">
        <w:rPr>
          <w:rStyle w:val="Enfasicorsivo"/>
          <w:sz w:val="20"/>
          <w:szCs w:val="20"/>
          <w:lang w:val="en-US"/>
        </w:rPr>
        <w:t>Azatutyun</w:t>
      </w:r>
      <w:r w:rsidRPr="005662D8">
        <w:rPr>
          <w:sz w:val="20"/>
          <w:szCs w:val="20"/>
          <w:lang w:val="en-US"/>
        </w:rPr>
        <w:t xml:space="preserve">, April 2. Available at: </w:t>
      </w:r>
      <w:hyperlink r:id="rId20" w:tgtFrame="_new" w:history="1">
        <w:r w:rsidRPr="005662D8">
          <w:rPr>
            <w:rStyle w:val="Collegamentoipertestuale"/>
            <w:sz w:val="20"/>
            <w:szCs w:val="20"/>
            <w:lang w:val="en-US"/>
          </w:rPr>
          <w:t>https://www.azatutyun.am/a/1576521.html</w:t>
        </w:r>
      </w:hyperlink>
      <w:r w:rsidRPr="005662D8">
        <w:rPr>
          <w:sz w:val="20"/>
          <w:szCs w:val="20"/>
          <w:lang w:val="en-US"/>
        </w:rPr>
        <w:t xml:space="preserve"> (accessed on November 19, 2025). </w:t>
      </w:r>
    </w:p>
    <w:p w14:paraId="294D5AAC"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 “Armenian PM Says Russia Has Not Delivered Weapons Yerevan Has Paid For.” 2023. </w:t>
      </w:r>
      <w:r w:rsidRPr="005662D8">
        <w:rPr>
          <w:rStyle w:val="Enfasicorsivo"/>
          <w:sz w:val="20"/>
          <w:szCs w:val="20"/>
          <w:lang w:val="en-US"/>
        </w:rPr>
        <w:t>Reuters</w:t>
      </w:r>
      <w:r w:rsidRPr="005662D8">
        <w:rPr>
          <w:sz w:val="20"/>
          <w:szCs w:val="20"/>
          <w:lang w:val="en-US"/>
        </w:rPr>
        <w:t xml:space="preserve">, November 24. Available at: </w:t>
      </w:r>
      <w:hyperlink r:id="rId21" w:tgtFrame="_new" w:history="1">
        <w:r w:rsidRPr="005662D8">
          <w:rPr>
            <w:rStyle w:val="Collegamentoipertestuale"/>
            <w:sz w:val="20"/>
            <w:szCs w:val="20"/>
            <w:lang w:val="en-US"/>
          </w:rPr>
          <w:t>https://www.reuters.com/world/asia-pacific/armenian-pm-says-russia-has-not-delivered-weapons-yerevan-has-paid-tass-2023-11-24/</w:t>
        </w:r>
      </w:hyperlink>
      <w:r w:rsidRPr="005662D8">
        <w:rPr>
          <w:sz w:val="20"/>
          <w:szCs w:val="20"/>
          <w:lang w:val="en-US"/>
        </w:rPr>
        <w:t xml:space="preserve"> (accessed on November 19, 2025).</w:t>
      </w:r>
    </w:p>
    <w:p w14:paraId="179C2FB6"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“Arms Transfers to Conflict Zones: The Case of Nagorno-Karabakh.” 2020. </w:t>
      </w:r>
      <w:r w:rsidRPr="005662D8">
        <w:rPr>
          <w:rStyle w:val="Enfasicorsivo"/>
          <w:sz w:val="20"/>
          <w:szCs w:val="20"/>
          <w:lang w:val="en-US"/>
        </w:rPr>
        <w:t>SIPRI.</w:t>
      </w:r>
      <w:r w:rsidRPr="005662D8">
        <w:rPr>
          <w:sz w:val="20"/>
          <w:szCs w:val="20"/>
          <w:lang w:val="en-US"/>
        </w:rPr>
        <w:t xml:space="preserve"> Available at: </w:t>
      </w:r>
      <w:hyperlink r:id="rId22" w:tgtFrame="_new" w:history="1">
        <w:r w:rsidRPr="005662D8">
          <w:rPr>
            <w:rStyle w:val="Collegamentoipertestuale"/>
            <w:sz w:val="20"/>
            <w:szCs w:val="20"/>
            <w:lang w:val="en-US"/>
          </w:rPr>
          <w:t>https://www.sipri.org/commentary/topical-backgrounder/2021/arms-transfers-conflict-zones-case-nagorno-karabakh</w:t>
        </w:r>
      </w:hyperlink>
      <w:r w:rsidRPr="005662D8">
        <w:rPr>
          <w:sz w:val="20"/>
          <w:szCs w:val="20"/>
          <w:lang w:val="en-US"/>
        </w:rPr>
        <w:t xml:space="preserve"> (accessed on November 19, 2025).</w:t>
      </w:r>
    </w:p>
    <w:p w14:paraId="5DDF0792"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“Article by Vladimir Putin ‘on the Historical Unity of Russians and Ukrainians.’” 2021. President of Russia, July 12. Available at: </w:t>
      </w:r>
      <w:hyperlink r:id="rId23" w:tgtFrame="_new" w:history="1">
        <w:r w:rsidRPr="005662D8">
          <w:rPr>
            <w:rStyle w:val="Collegamentoipertestuale"/>
            <w:sz w:val="20"/>
            <w:szCs w:val="20"/>
            <w:lang w:val="en-US"/>
          </w:rPr>
          <w:t>http://en.kremlin.ru/events/president/news/66181</w:t>
        </w:r>
      </w:hyperlink>
      <w:r w:rsidRPr="005662D8">
        <w:rPr>
          <w:sz w:val="20"/>
          <w:szCs w:val="20"/>
          <w:lang w:val="en-US"/>
        </w:rPr>
        <w:t xml:space="preserve"> (accessed on November 19, 2025).</w:t>
      </w:r>
    </w:p>
    <w:p w14:paraId="50325D8E"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“Azerbaijan Launches Wide-Ranging Attacks against Armenia.” 2022. </w:t>
      </w:r>
      <w:r w:rsidRPr="005662D8">
        <w:rPr>
          <w:rStyle w:val="Enfasicorsivo"/>
          <w:sz w:val="20"/>
          <w:szCs w:val="20"/>
          <w:lang w:val="en-US"/>
        </w:rPr>
        <w:t>Eurasianet</w:t>
      </w:r>
      <w:r w:rsidRPr="005662D8">
        <w:rPr>
          <w:sz w:val="20"/>
          <w:szCs w:val="20"/>
          <w:lang w:val="en-US"/>
        </w:rPr>
        <w:t xml:space="preserve">, September 13. Available at: </w:t>
      </w:r>
      <w:hyperlink r:id="rId24" w:tgtFrame="_new" w:history="1">
        <w:r w:rsidRPr="005662D8">
          <w:rPr>
            <w:rStyle w:val="Collegamentoipertestuale"/>
            <w:sz w:val="20"/>
            <w:szCs w:val="20"/>
            <w:lang w:val="en-US"/>
          </w:rPr>
          <w:t>https://eurasianet.org/azerbaijan-launches-wide-ranging-attacks-against-armenia</w:t>
        </w:r>
      </w:hyperlink>
      <w:r w:rsidRPr="005662D8">
        <w:rPr>
          <w:sz w:val="20"/>
          <w:szCs w:val="20"/>
          <w:lang w:val="en-US"/>
        </w:rPr>
        <w:t xml:space="preserve"> (accessed on November 19, 2025).</w:t>
      </w:r>
    </w:p>
    <w:p w14:paraId="373BF18B"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“Babayan Roman Georgievich.” 2025. Moscow City Duma. Available at: </w:t>
      </w:r>
      <w:hyperlink r:id="rId25" w:tgtFrame="_new" w:history="1">
        <w:r w:rsidRPr="005662D8">
          <w:rPr>
            <w:rStyle w:val="Collegamentoipertestuale"/>
            <w:sz w:val="20"/>
            <w:szCs w:val="20"/>
            <w:lang w:val="en-US"/>
          </w:rPr>
          <w:t>https://duma.mos.ru/en/0/page/employee/977</w:t>
        </w:r>
      </w:hyperlink>
      <w:r w:rsidRPr="005662D8">
        <w:rPr>
          <w:sz w:val="20"/>
          <w:szCs w:val="20"/>
          <w:lang w:val="en-US"/>
        </w:rPr>
        <w:t xml:space="preserve"> (accessed on November 24, 2025).</w:t>
      </w:r>
    </w:p>
    <w:p w14:paraId="11AE3CF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“Businessman Sergey Sarkisov Is Armenia’s New Consul General to LA.”</w:t>
      </w:r>
      <w:r w:rsidRPr="005662D8">
        <w:rPr>
          <w:sz w:val="20"/>
          <w:szCs w:val="20"/>
          <w:lang w:val="en-US"/>
        </w:rPr>
        <w:t xml:space="preserve"> 2013. </w:t>
      </w:r>
      <w:r w:rsidRPr="005662D8">
        <w:rPr>
          <w:rStyle w:val="Enfasicorsivo"/>
          <w:sz w:val="20"/>
          <w:szCs w:val="20"/>
          <w:lang w:val="en-US"/>
        </w:rPr>
        <w:t>Armenpress</w:t>
      </w:r>
      <w:r w:rsidRPr="005662D8">
        <w:rPr>
          <w:sz w:val="20"/>
          <w:szCs w:val="20"/>
          <w:lang w:val="en-US"/>
        </w:rPr>
        <w:t xml:space="preserve">, October 28. Available at: </w:t>
      </w:r>
      <w:hyperlink r:id="rId26" w:tgtFrame="_new" w:history="1">
        <w:r w:rsidRPr="005662D8">
          <w:rPr>
            <w:rStyle w:val="Collegamentoipertestuale"/>
            <w:sz w:val="20"/>
            <w:szCs w:val="20"/>
            <w:lang w:val="en-US"/>
          </w:rPr>
          <w:t>https://armenpress.am/en/article/733827</w:t>
        </w:r>
      </w:hyperlink>
      <w:r w:rsidRPr="005662D8">
        <w:rPr>
          <w:sz w:val="20"/>
          <w:szCs w:val="20"/>
          <w:lang w:val="en-US"/>
        </w:rPr>
        <w:t xml:space="preserve"> (accessed on November 19, 2025).</w:t>
      </w:r>
    </w:p>
    <w:p w14:paraId="6466611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“Caucasus Barometer 2021–2022.”</w:t>
      </w:r>
      <w:r w:rsidRPr="005662D8">
        <w:rPr>
          <w:sz w:val="20"/>
          <w:szCs w:val="20"/>
          <w:lang w:val="en-US"/>
        </w:rPr>
        <w:t xml:space="preserve"> 2021a. Caucasus Resource Research Center. Available at: </w:t>
      </w:r>
      <w:hyperlink r:id="rId27" w:tgtFrame="_new" w:history="1">
        <w:r w:rsidRPr="005662D8">
          <w:rPr>
            <w:rStyle w:val="Collegamentoipertestuale"/>
            <w:sz w:val="20"/>
            <w:szCs w:val="20"/>
            <w:lang w:val="en-US"/>
          </w:rPr>
          <w:t>https://www.crrc.am/wp-content/uploads/2022/06/Barometer-2021_pptx_ENG_Final_14․06․22.pdf</w:t>
        </w:r>
      </w:hyperlink>
      <w:r w:rsidRPr="005662D8">
        <w:rPr>
          <w:sz w:val="20"/>
          <w:szCs w:val="20"/>
          <w:lang w:val="en-US"/>
        </w:rPr>
        <w:t xml:space="preserve"> (accessed on November 19, 2025).</w:t>
      </w:r>
    </w:p>
    <w:p w14:paraId="46A6BAF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“CEC Summed up Preliminary Results of Elections.”</w:t>
      </w:r>
      <w:r w:rsidRPr="005662D8">
        <w:rPr>
          <w:sz w:val="20"/>
          <w:szCs w:val="20"/>
          <w:lang w:val="en-US"/>
        </w:rPr>
        <w:t xml:space="preserve"> 2021. </w:t>
      </w:r>
      <w:r w:rsidRPr="005662D8">
        <w:rPr>
          <w:rStyle w:val="Enfasicorsivo"/>
          <w:sz w:val="20"/>
          <w:szCs w:val="20"/>
          <w:lang w:val="en-US"/>
        </w:rPr>
        <w:t>1Lurer</w:t>
      </w:r>
      <w:r w:rsidRPr="005662D8">
        <w:rPr>
          <w:sz w:val="20"/>
          <w:szCs w:val="20"/>
          <w:lang w:val="en-US"/>
        </w:rPr>
        <w:t xml:space="preserve">, June 21. Available at: </w:t>
      </w:r>
      <w:hyperlink r:id="rId28" w:tgtFrame="_new" w:history="1">
        <w:r w:rsidRPr="005662D8">
          <w:rPr>
            <w:rStyle w:val="Collegamentoipertestuale"/>
            <w:sz w:val="20"/>
            <w:szCs w:val="20"/>
            <w:lang w:val="en-US"/>
          </w:rPr>
          <w:t>https://www.1lurer.am/en/2021/06/21/CEC-summed-up-preliminary-results-of-elections/500475</w:t>
        </w:r>
      </w:hyperlink>
      <w:r w:rsidRPr="005662D8">
        <w:rPr>
          <w:sz w:val="20"/>
          <w:szCs w:val="20"/>
          <w:lang w:val="en-US"/>
        </w:rPr>
        <w:t xml:space="preserve"> (accessed on November 19, 2025).</w:t>
      </w:r>
    </w:p>
    <w:p w14:paraId="056078B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“CIS Officials to Discuss United Air Defense System Development.”</w:t>
      </w:r>
      <w:r w:rsidRPr="005662D8">
        <w:rPr>
          <w:sz w:val="20"/>
          <w:szCs w:val="20"/>
          <w:lang w:val="en-US"/>
        </w:rPr>
        <w:t xml:space="preserve"> 2015. </w:t>
      </w:r>
      <w:r w:rsidRPr="005662D8">
        <w:rPr>
          <w:rStyle w:val="Enfasicorsivo"/>
          <w:sz w:val="20"/>
          <w:szCs w:val="20"/>
          <w:lang w:val="en-US"/>
        </w:rPr>
        <w:t>TASS</w:t>
      </w:r>
      <w:r w:rsidRPr="005662D8">
        <w:rPr>
          <w:sz w:val="20"/>
          <w:szCs w:val="20"/>
          <w:lang w:val="en-US"/>
        </w:rPr>
        <w:t xml:space="preserve">, August 25. Available at: </w:t>
      </w:r>
      <w:hyperlink r:id="rId29" w:tgtFrame="_new" w:history="1">
        <w:r w:rsidRPr="005662D8">
          <w:rPr>
            <w:rStyle w:val="Collegamentoipertestuale"/>
            <w:sz w:val="20"/>
            <w:szCs w:val="20"/>
            <w:lang w:val="en-US"/>
          </w:rPr>
          <w:t>https://tass.com/world/819468</w:t>
        </w:r>
      </w:hyperlink>
      <w:r w:rsidRPr="005662D8">
        <w:rPr>
          <w:sz w:val="20"/>
          <w:szCs w:val="20"/>
          <w:lang w:val="en-US"/>
        </w:rPr>
        <w:t xml:space="preserve"> (accessed on November 19, 2025).</w:t>
      </w:r>
    </w:p>
    <w:p w14:paraId="6104DC0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“Dmitry Medvedev Made a Statement on the Situation in South Ossetia.”</w:t>
      </w:r>
      <w:r w:rsidRPr="005662D8">
        <w:rPr>
          <w:sz w:val="20"/>
          <w:szCs w:val="20"/>
          <w:lang w:val="en-US"/>
        </w:rPr>
        <w:t xml:space="preserve"> 2008. President of Russia, August 8. Available at: </w:t>
      </w:r>
      <w:hyperlink r:id="rId30" w:tgtFrame="_new" w:history="1">
        <w:r w:rsidRPr="005662D8">
          <w:rPr>
            <w:rStyle w:val="Collegamentoipertestuale"/>
            <w:sz w:val="20"/>
            <w:szCs w:val="20"/>
            <w:lang w:val="en-US"/>
          </w:rPr>
          <w:t>http://en.kremlin.ru/events/president/news/1043</w:t>
        </w:r>
      </w:hyperlink>
      <w:r w:rsidRPr="005662D8">
        <w:rPr>
          <w:sz w:val="20"/>
          <w:szCs w:val="20"/>
          <w:lang w:val="en-US"/>
        </w:rPr>
        <w:t xml:space="preserve"> (accessed on November 19, 2025).</w:t>
      </w:r>
    </w:p>
    <w:p w14:paraId="1279CB9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“Dmitry Peskov: There Are More Armenians Living in Russia than in Armenia.”</w:t>
      </w:r>
      <w:r w:rsidRPr="005662D8">
        <w:rPr>
          <w:sz w:val="20"/>
          <w:szCs w:val="20"/>
          <w:lang w:val="en-US"/>
        </w:rPr>
        <w:t xml:space="preserve"> 2024. </w:t>
      </w:r>
      <w:r w:rsidRPr="005662D8">
        <w:rPr>
          <w:rStyle w:val="Enfasicorsivo"/>
          <w:sz w:val="20"/>
          <w:szCs w:val="20"/>
          <w:lang w:val="en-US"/>
        </w:rPr>
        <w:t>Abaka News</w:t>
      </w:r>
      <w:r w:rsidRPr="005662D8">
        <w:rPr>
          <w:sz w:val="20"/>
          <w:szCs w:val="20"/>
          <w:lang w:val="en-US"/>
        </w:rPr>
        <w:t xml:space="preserve">, March 7. Available at: </w:t>
      </w:r>
      <w:hyperlink r:id="rId31" w:tgtFrame="_new" w:history="1">
        <w:r w:rsidRPr="005662D8">
          <w:rPr>
            <w:rStyle w:val="Collegamentoipertestuale"/>
            <w:sz w:val="20"/>
            <w:szCs w:val="20"/>
            <w:lang w:val="en-US"/>
          </w:rPr>
          <w:t>https://abakanews.org/news/armenia-and-artsakh/dmitry-peskov-there-are-more-armenians-living-in-russia-than-in-armenia/</w:t>
        </w:r>
      </w:hyperlink>
      <w:r w:rsidRPr="005662D8">
        <w:rPr>
          <w:sz w:val="20"/>
          <w:szCs w:val="20"/>
          <w:lang w:val="en-US"/>
        </w:rPr>
        <w:t xml:space="preserve"> (accessed on November 19, 2025).</w:t>
      </w:r>
    </w:p>
    <w:p w14:paraId="6583370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“Executive Order Approving Fundamentals of State Policy for Preservation and Strengthening of Traditional Russian Spiritual and Moral Values.”</w:t>
      </w:r>
      <w:r w:rsidRPr="005662D8">
        <w:rPr>
          <w:sz w:val="20"/>
          <w:szCs w:val="20"/>
          <w:lang w:val="en-US"/>
        </w:rPr>
        <w:t xml:space="preserve"> 2022. President of Russia, November 9. Available at: </w:t>
      </w:r>
      <w:hyperlink r:id="rId32" w:tgtFrame="_new" w:history="1">
        <w:r w:rsidRPr="005662D8">
          <w:rPr>
            <w:rStyle w:val="Collegamentoipertestuale"/>
            <w:sz w:val="20"/>
            <w:szCs w:val="20"/>
            <w:lang w:val="en-US"/>
          </w:rPr>
          <w:t>http://en.kremlin.ru/acts/news/69810</w:t>
        </w:r>
      </w:hyperlink>
      <w:r w:rsidRPr="005662D8">
        <w:rPr>
          <w:sz w:val="20"/>
          <w:szCs w:val="20"/>
          <w:lang w:val="en-US"/>
        </w:rPr>
        <w:t xml:space="preserve"> (accessed on November 19, 2025).</w:t>
      </w:r>
    </w:p>
    <w:p w14:paraId="75E371C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“From the Side to Baku: What Will the Rapprochement of Azerbaijan with Ukraine Lead To.”</w:t>
      </w:r>
      <w:r w:rsidRPr="005662D8">
        <w:rPr>
          <w:sz w:val="20"/>
          <w:szCs w:val="20"/>
          <w:lang w:val="en-US"/>
        </w:rPr>
        <w:t xml:space="preserve"> 2022. </w:t>
      </w:r>
      <w:r w:rsidRPr="005662D8">
        <w:rPr>
          <w:rStyle w:val="Enfasicorsivo"/>
          <w:sz w:val="20"/>
          <w:szCs w:val="20"/>
          <w:lang w:val="en-US"/>
        </w:rPr>
        <w:t>Izvestia.</w:t>
      </w:r>
      <w:r w:rsidRPr="005662D8">
        <w:rPr>
          <w:sz w:val="20"/>
          <w:szCs w:val="20"/>
          <w:lang w:val="en-US"/>
        </w:rPr>
        <w:t xml:space="preserve"> Available at: </w:t>
      </w:r>
      <w:hyperlink r:id="rId33" w:tgtFrame="_new" w:history="1">
        <w:r w:rsidRPr="005662D8">
          <w:rPr>
            <w:rStyle w:val="Collegamentoipertestuale"/>
            <w:sz w:val="20"/>
            <w:szCs w:val="20"/>
            <w:lang w:val="en-US"/>
          </w:rPr>
          <w:t>https://en.iz.ru/en/1966398/igor-karmazin/side-baku-what-will-rapprochement-azerbaijan-ukraine-lead</w:t>
        </w:r>
      </w:hyperlink>
      <w:r w:rsidRPr="005662D8">
        <w:rPr>
          <w:sz w:val="20"/>
          <w:szCs w:val="20"/>
          <w:lang w:val="en-US"/>
        </w:rPr>
        <w:t xml:space="preserve"> (accessed on November 19, 2025).</w:t>
      </w:r>
    </w:p>
    <w:p w14:paraId="3190651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“Great Powers.”</w:t>
      </w:r>
      <w:r w:rsidRPr="005662D8">
        <w:rPr>
          <w:sz w:val="20"/>
          <w:szCs w:val="20"/>
          <w:lang w:val="en-US"/>
        </w:rPr>
        <w:t xml:space="preserve"> 1975. United Nations Security Council. Available at: </w:t>
      </w:r>
      <w:hyperlink r:id="rId34" w:tgtFrame="_new" w:history="1">
        <w:r w:rsidRPr="005662D8">
          <w:rPr>
            <w:rStyle w:val="Collegamentoipertestuale"/>
            <w:sz w:val="20"/>
            <w:szCs w:val="20"/>
            <w:lang w:val="en-US"/>
          </w:rPr>
          <w:t>https://main.un.org/securitycouncil/en/content/repertoire/structure</w:t>
        </w:r>
      </w:hyperlink>
      <w:r w:rsidRPr="005662D8">
        <w:rPr>
          <w:sz w:val="20"/>
          <w:szCs w:val="20"/>
          <w:lang w:val="en-US"/>
        </w:rPr>
        <w:t xml:space="preserve"> (accessed on November 19, 2025).</w:t>
      </w:r>
    </w:p>
    <w:p w14:paraId="0B81F03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“Intervention of Russian FM Evgenii Primakov Morning Meeting of the NACC.”</w:t>
      </w:r>
      <w:r w:rsidRPr="005662D8">
        <w:rPr>
          <w:sz w:val="20"/>
          <w:szCs w:val="20"/>
          <w:lang w:val="en-US"/>
        </w:rPr>
        <w:t xml:space="preserve"> 1996. </w:t>
      </w:r>
      <w:r w:rsidRPr="005662D8">
        <w:rPr>
          <w:rStyle w:val="Enfasicorsivo"/>
          <w:sz w:val="20"/>
          <w:szCs w:val="20"/>
          <w:lang w:val="en-US"/>
        </w:rPr>
        <w:t>NATO.</w:t>
      </w:r>
      <w:r w:rsidRPr="005662D8">
        <w:rPr>
          <w:sz w:val="20"/>
          <w:szCs w:val="20"/>
          <w:lang w:val="en-US"/>
        </w:rPr>
        <w:t xml:space="preserve"> Available at: </w:t>
      </w:r>
      <w:hyperlink r:id="rId35" w:tgtFrame="_new" w:history="1">
        <w:r w:rsidRPr="005662D8">
          <w:rPr>
            <w:rStyle w:val="Collegamentoipertestuale"/>
            <w:sz w:val="20"/>
            <w:szCs w:val="20"/>
            <w:lang w:val="en-US"/>
          </w:rPr>
          <w:t>https://www.nato.int/docu/speech/1996/s9612115.htm</w:t>
        </w:r>
      </w:hyperlink>
      <w:r w:rsidRPr="005662D8">
        <w:rPr>
          <w:sz w:val="20"/>
          <w:szCs w:val="20"/>
          <w:lang w:val="en-US"/>
        </w:rPr>
        <w:t xml:space="preserve"> (accessed on November 19, 2025).</w:t>
      </w:r>
    </w:p>
    <w:p w14:paraId="12E8C91E"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“Medvedev: Russia Will Protect Its Citizens in S. Ossetia.”</w:t>
      </w:r>
      <w:r w:rsidRPr="005662D8">
        <w:rPr>
          <w:sz w:val="20"/>
          <w:szCs w:val="20"/>
          <w:lang w:eastAsia="it-IT"/>
        </w:rPr>
        <w:t xml:space="preserve"> 2008. </w:t>
      </w:r>
      <w:r w:rsidRPr="005662D8">
        <w:rPr>
          <w:i/>
          <w:iCs/>
          <w:sz w:val="20"/>
          <w:szCs w:val="20"/>
          <w:lang w:eastAsia="it-IT"/>
        </w:rPr>
        <w:t>Civil Georgia.</w:t>
      </w:r>
      <w:r w:rsidRPr="005662D8">
        <w:rPr>
          <w:sz w:val="20"/>
          <w:szCs w:val="20"/>
          <w:lang w:eastAsia="it-IT"/>
        </w:rPr>
        <w:t xml:space="preserve"> </w:t>
      </w:r>
      <w:hyperlink r:id="rId36" w:tgtFrame="_new" w:history="1">
        <w:r w:rsidRPr="005662D8">
          <w:rPr>
            <w:color w:val="0000FF"/>
            <w:sz w:val="20"/>
            <w:szCs w:val="20"/>
            <w:u w:val="single"/>
            <w:lang w:eastAsia="it-IT"/>
          </w:rPr>
          <w:t>https://civil.ge/archives/category/news</w:t>
        </w:r>
      </w:hyperlink>
      <w:r w:rsidRPr="005662D8">
        <w:rPr>
          <w:sz w:val="20"/>
          <w:szCs w:val="20"/>
          <w:lang w:eastAsia="it-IT"/>
        </w:rPr>
        <w:t>.</w:t>
      </w:r>
    </w:p>
    <w:p w14:paraId="07784FA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“Mercenaries in and around the Nagorno-Karabakh Conflict Zone Must Be Withdrawn.”</w:t>
      </w:r>
      <w:r w:rsidRPr="005662D8">
        <w:rPr>
          <w:sz w:val="20"/>
          <w:szCs w:val="20"/>
          <w:lang w:val="en-US"/>
        </w:rPr>
        <w:t xml:space="preserve"> 2020. </w:t>
      </w:r>
      <w:r w:rsidRPr="005662D8">
        <w:rPr>
          <w:rStyle w:val="Enfasicorsivo"/>
          <w:sz w:val="20"/>
          <w:szCs w:val="20"/>
          <w:lang w:val="en-US"/>
        </w:rPr>
        <w:t>OHCHR.</w:t>
      </w:r>
      <w:r w:rsidRPr="005662D8">
        <w:rPr>
          <w:sz w:val="20"/>
          <w:szCs w:val="20"/>
          <w:lang w:val="en-US"/>
        </w:rPr>
        <w:t xml:space="preserve"> </w:t>
      </w:r>
      <w:hyperlink r:id="rId37" w:tgtFrame="_new" w:history="1">
        <w:r w:rsidRPr="005662D8">
          <w:rPr>
            <w:rStyle w:val="Collegamentoipertestuale"/>
            <w:sz w:val="20"/>
            <w:szCs w:val="20"/>
            <w:lang w:val="en-US"/>
          </w:rPr>
          <w:t>https://www.ohchr.org/en/press-releases/2020/11/mercenaries-and-around-nagorno-karabakh-conflict-zone-must-be-withdrawn-un</w:t>
        </w:r>
      </w:hyperlink>
      <w:r w:rsidRPr="005662D8">
        <w:rPr>
          <w:sz w:val="20"/>
          <w:szCs w:val="20"/>
          <w:lang w:val="en-US"/>
        </w:rPr>
        <w:t>.</w:t>
      </w:r>
    </w:p>
    <w:p w14:paraId="2D9485A6"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“Most Popular Messenger Apps in Russia.”</w:t>
      </w:r>
      <w:r w:rsidRPr="005662D8">
        <w:rPr>
          <w:sz w:val="20"/>
          <w:szCs w:val="20"/>
          <w:lang w:val="en-US"/>
        </w:rPr>
        <w:t xml:space="preserve"> </w:t>
      </w:r>
      <w:r w:rsidRPr="005662D8">
        <w:rPr>
          <w:sz w:val="20"/>
          <w:szCs w:val="20"/>
        </w:rPr>
        <w:t xml:space="preserve">2025. </w:t>
      </w:r>
      <w:r w:rsidRPr="005662D8">
        <w:rPr>
          <w:rStyle w:val="Enfasicorsivo"/>
          <w:sz w:val="20"/>
          <w:szCs w:val="20"/>
        </w:rPr>
        <w:t>Statista.</w:t>
      </w:r>
      <w:r w:rsidRPr="005662D8">
        <w:rPr>
          <w:sz w:val="20"/>
          <w:szCs w:val="20"/>
        </w:rPr>
        <w:t xml:space="preserve"> May 20. </w:t>
      </w:r>
      <w:hyperlink r:id="rId38" w:tgtFrame="_new" w:history="1">
        <w:r w:rsidRPr="005662D8">
          <w:rPr>
            <w:rStyle w:val="Collegamentoipertestuale"/>
            <w:sz w:val="20"/>
            <w:szCs w:val="20"/>
          </w:rPr>
          <w:t>https://www.statista.com/statistics/1116011/poll-on-most-popular-messengers-russia/</w:t>
        </w:r>
      </w:hyperlink>
      <w:r w:rsidRPr="005662D8">
        <w:rPr>
          <w:sz w:val="20"/>
          <w:szCs w:val="20"/>
        </w:rPr>
        <w:t>.</w:t>
      </w:r>
    </w:p>
    <w:p w14:paraId="35D7EBD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“Nagorno-Karabakh and the Attitude towards Countries against the Background of the Conflict: September 2023.”</w:t>
      </w:r>
      <w:r w:rsidRPr="005662D8">
        <w:rPr>
          <w:sz w:val="20"/>
          <w:szCs w:val="20"/>
          <w:lang w:val="en-US"/>
        </w:rPr>
        <w:t xml:space="preserve"> 2023. </w:t>
      </w:r>
      <w:r w:rsidRPr="005662D8">
        <w:rPr>
          <w:rStyle w:val="Enfasicorsivo"/>
          <w:sz w:val="20"/>
          <w:szCs w:val="20"/>
          <w:lang w:val="en-US"/>
        </w:rPr>
        <w:t>Levada Center.</w:t>
      </w:r>
      <w:r w:rsidRPr="005662D8">
        <w:rPr>
          <w:sz w:val="20"/>
          <w:szCs w:val="20"/>
          <w:lang w:val="en-US"/>
        </w:rPr>
        <w:t xml:space="preserve"> October 1. </w:t>
      </w:r>
      <w:hyperlink r:id="rId39" w:tgtFrame="_new" w:history="1">
        <w:r w:rsidRPr="005662D8">
          <w:rPr>
            <w:rStyle w:val="Collegamentoipertestuale"/>
            <w:sz w:val="20"/>
            <w:szCs w:val="20"/>
            <w:lang w:val="en-US"/>
          </w:rPr>
          <w:t>https://www.levada.ru/en/2023/12/01/nagorno-karabakh-and-the-attitude-towards-countries-against-the-background-of-the-conflict-september-2023/</w:t>
        </w:r>
      </w:hyperlink>
      <w:r w:rsidRPr="005662D8">
        <w:rPr>
          <w:sz w:val="20"/>
          <w:szCs w:val="20"/>
          <w:lang w:val="en-US"/>
        </w:rPr>
        <w:t>.</w:t>
      </w:r>
    </w:p>
    <w:p w14:paraId="377ED22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“Ontology.”</w:t>
      </w:r>
      <w:r w:rsidRPr="005662D8">
        <w:rPr>
          <w:sz w:val="20"/>
          <w:szCs w:val="20"/>
          <w:lang w:val="en-US"/>
        </w:rPr>
        <w:t xml:space="preserve"> n.d. </w:t>
      </w:r>
      <w:r w:rsidRPr="005662D8">
        <w:rPr>
          <w:rStyle w:val="Enfasicorsivo"/>
          <w:sz w:val="20"/>
          <w:szCs w:val="20"/>
          <w:lang w:val="en-US"/>
        </w:rPr>
        <w:t>Merriam-Webster.</w:t>
      </w:r>
      <w:r w:rsidRPr="005662D8">
        <w:rPr>
          <w:sz w:val="20"/>
          <w:szCs w:val="20"/>
          <w:lang w:val="en-US"/>
        </w:rPr>
        <w:t xml:space="preserve"> </w:t>
      </w:r>
      <w:hyperlink r:id="rId40" w:tgtFrame="_new" w:history="1">
        <w:r w:rsidRPr="005662D8">
          <w:rPr>
            <w:rStyle w:val="Collegamentoipertestuale"/>
            <w:sz w:val="20"/>
            <w:szCs w:val="20"/>
            <w:lang w:val="en-US"/>
          </w:rPr>
          <w:t>https://www.merriam-webster.com/dictionary/ontology</w:t>
        </w:r>
      </w:hyperlink>
      <w:r w:rsidRPr="005662D8">
        <w:rPr>
          <w:sz w:val="20"/>
          <w:szCs w:val="20"/>
          <w:lang w:val="en-US"/>
        </w:rPr>
        <w:t>.</w:t>
      </w:r>
    </w:p>
    <w:p w14:paraId="1751B7A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“Open Letter to Voters.”</w:t>
      </w:r>
      <w:r w:rsidRPr="005662D8">
        <w:rPr>
          <w:sz w:val="20"/>
          <w:szCs w:val="20"/>
          <w:lang w:val="en-US"/>
        </w:rPr>
        <w:t xml:space="preserve"> 2000. </w:t>
      </w:r>
      <w:r w:rsidRPr="005662D8">
        <w:rPr>
          <w:rStyle w:val="Enfasicorsivo"/>
          <w:sz w:val="20"/>
          <w:szCs w:val="20"/>
          <w:lang w:val="en-US"/>
        </w:rPr>
        <w:t>President of Russia.</w:t>
      </w:r>
      <w:r w:rsidRPr="005662D8">
        <w:rPr>
          <w:sz w:val="20"/>
          <w:szCs w:val="20"/>
          <w:lang w:val="en-US"/>
        </w:rPr>
        <w:t xml:space="preserve"> February 25. </w:t>
      </w:r>
      <w:hyperlink r:id="rId41" w:tgtFrame="_new" w:history="1">
        <w:r w:rsidRPr="005662D8">
          <w:rPr>
            <w:rStyle w:val="Collegamentoipertestuale"/>
            <w:sz w:val="20"/>
            <w:szCs w:val="20"/>
            <w:lang w:val="en-US"/>
          </w:rPr>
          <w:t>http://en.kremlin.ru/events/president/transcripts/24144</w:t>
        </w:r>
      </w:hyperlink>
      <w:r w:rsidRPr="005662D8">
        <w:rPr>
          <w:sz w:val="20"/>
          <w:szCs w:val="20"/>
          <w:lang w:val="en-US"/>
        </w:rPr>
        <w:t>.</w:t>
      </w:r>
    </w:p>
    <w:p w14:paraId="34FE669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“Pashinyan Accuses CSTO Allies of Supporting Azerbaijan in 2020 War.”</w:t>
      </w:r>
      <w:r w:rsidRPr="005662D8">
        <w:rPr>
          <w:sz w:val="20"/>
          <w:szCs w:val="20"/>
          <w:lang w:val="en-US"/>
        </w:rPr>
        <w:t xml:space="preserve"> 2024a. </w:t>
      </w:r>
      <w:r w:rsidRPr="005662D8">
        <w:rPr>
          <w:rStyle w:val="Enfasicorsivo"/>
          <w:sz w:val="20"/>
          <w:szCs w:val="20"/>
          <w:lang w:val="en-US"/>
        </w:rPr>
        <w:t>Caucasus Watch.</w:t>
      </w:r>
      <w:r w:rsidRPr="005662D8">
        <w:rPr>
          <w:sz w:val="20"/>
          <w:szCs w:val="20"/>
          <w:lang w:val="en-US"/>
        </w:rPr>
        <w:t xml:space="preserve"> May. </w:t>
      </w:r>
      <w:hyperlink r:id="rId42" w:tgtFrame="_new" w:history="1">
        <w:r w:rsidRPr="005662D8">
          <w:rPr>
            <w:rStyle w:val="Collegamentoipertestuale"/>
            <w:sz w:val="20"/>
            <w:szCs w:val="20"/>
            <w:lang w:val="en-US"/>
          </w:rPr>
          <w:t>https://caucasuswatch.de/en/news/pashinyan-accuses-csto-allies-of-supporting-azerbaijan-in-2020-war.html</w:t>
        </w:r>
      </w:hyperlink>
      <w:r w:rsidRPr="005662D8">
        <w:rPr>
          <w:sz w:val="20"/>
          <w:szCs w:val="20"/>
          <w:lang w:val="en-US"/>
        </w:rPr>
        <w:t>.</w:t>
      </w:r>
    </w:p>
    <w:p w14:paraId="1EB1A2A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“Pashinyan Calls on Citizens to Focus on ‘Real, Not Historic Armenia.’”</w:t>
      </w:r>
      <w:r w:rsidRPr="005662D8">
        <w:rPr>
          <w:sz w:val="20"/>
          <w:szCs w:val="20"/>
          <w:lang w:val="en-US"/>
        </w:rPr>
        <w:t xml:space="preserve"> 2024. </w:t>
      </w:r>
      <w:r w:rsidRPr="005662D8">
        <w:rPr>
          <w:rStyle w:val="Enfasicorsivo"/>
          <w:sz w:val="20"/>
          <w:szCs w:val="20"/>
          <w:lang w:val="en-US"/>
        </w:rPr>
        <w:t>Hetq.am.</w:t>
      </w:r>
      <w:r w:rsidRPr="005662D8">
        <w:rPr>
          <w:sz w:val="20"/>
          <w:szCs w:val="20"/>
          <w:lang w:val="en-US"/>
        </w:rPr>
        <w:t xml:space="preserve"> April 10. </w:t>
      </w:r>
      <w:hyperlink r:id="rId43" w:tgtFrame="_new" w:history="1">
        <w:r w:rsidRPr="005662D8">
          <w:rPr>
            <w:rStyle w:val="Collegamentoipertestuale"/>
            <w:sz w:val="20"/>
            <w:szCs w:val="20"/>
            <w:lang w:val="en-US"/>
          </w:rPr>
          <w:t>https://hetq.am/en/article/165645</w:t>
        </w:r>
      </w:hyperlink>
      <w:r w:rsidRPr="005662D8">
        <w:rPr>
          <w:sz w:val="20"/>
          <w:szCs w:val="20"/>
          <w:lang w:val="en-US"/>
        </w:rPr>
        <w:t>.</w:t>
      </w:r>
    </w:p>
    <w:p w14:paraId="1FBA335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“Pashinyan: Armenia Has ‘Frozen’ Its Participation in the CSTO.”</w:t>
      </w:r>
      <w:r w:rsidRPr="005662D8">
        <w:rPr>
          <w:sz w:val="20"/>
          <w:szCs w:val="20"/>
          <w:lang w:val="en-US"/>
        </w:rPr>
        <w:t xml:space="preserve"> 2024. </w:t>
      </w:r>
      <w:r w:rsidRPr="005662D8">
        <w:rPr>
          <w:rStyle w:val="Enfasicorsivo"/>
          <w:sz w:val="20"/>
          <w:szCs w:val="20"/>
          <w:lang w:val="en-US"/>
        </w:rPr>
        <w:t>OC Media.</w:t>
      </w:r>
      <w:r w:rsidRPr="005662D8">
        <w:rPr>
          <w:sz w:val="20"/>
          <w:szCs w:val="20"/>
          <w:lang w:val="en-US"/>
        </w:rPr>
        <w:t xml:space="preserve"> February 28. </w:t>
      </w:r>
      <w:hyperlink r:id="rId44" w:tgtFrame="_new" w:history="1">
        <w:r w:rsidRPr="005662D8">
          <w:rPr>
            <w:rStyle w:val="Collegamentoipertestuale"/>
            <w:sz w:val="20"/>
            <w:szCs w:val="20"/>
            <w:lang w:val="en-US"/>
          </w:rPr>
          <w:t>https://oc-media.org/pashinyan-armenia-has-frozen-its-participation-in-the-csto/</w:t>
        </w:r>
      </w:hyperlink>
      <w:r w:rsidRPr="005662D8">
        <w:rPr>
          <w:sz w:val="20"/>
          <w:szCs w:val="20"/>
          <w:lang w:val="en-US"/>
        </w:rPr>
        <w:t>.</w:t>
      </w:r>
    </w:p>
    <w:p w14:paraId="45516E4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“Pashinyan’s Populist Shift from Nationalism to Pragmatism.”</w:t>
      </w:r>
      <w:r w:rsidRPr="005662D8">
        <w:rPr>
          <w:sz w:val="20"/>
          <w:szCs w:val="20"/>
          <w:lang w:val="en-US"/>
        </w:rPr>
        <w:t xml:space="preserve"> 2023. </w:t>
      </w:r>
      <w:r w:rsidRPr="005662D8">
        <w:rPr>
          <w:rStyle w:val="Enfasicorsivo"/>
          <w:sz w:val="20"/>
          <w:szCs w:val="20"/>
          <w:lang w:val="en-US"/>
        </w:rPr>
        <w:t>The Hague Research Institute.</w:t>
      </w:r>
      <w:r w:rsidRPr="005662D8">
        <w:rPr>
          <w:sz w:val="20"/>
          <w:szCs w:val="20"/>
          <w:lang w:val="en-US"/>
        </w:rPr>
        <w:t xml:space="preserve"> </w:t>
      </w:r>
      <w:hyperlink r:id="rId45" w:tgtFrame="_new" w:history="1">
        <w:r w:rsidRPr="005662D8">
          <w:rPr>
            <w:rStyle w:val="Collegamentoipertestuale"/>
            <w:sz w:val="20"/>
            <w:szCs w:val="20"/>
            <w:lang w:val="en-US"/>
          </w:rPr>
          <w:t>https://hagueresearch.org/pashinyans-populist-shift-from-nationalism-to-pragmatism/</w:t>
        </w:r>
      </w:hyperlink>
      <w:r w:rsidRPr="005662D8">
        <w:rPr>
          <w:sz w:val="20"/>
          <w:szCs w:val="20"/>
          <w:lang w:val="en-US"/>
        </w:rPr>
        <w:t>.</w:t>
      </w:r>
    </w:p>
    <w:p w14:paraId="6001289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“President Ilham Aliyev: Azerbaijan Will Restore Its Territorial Integrity.”</w:t>
      </w:r>
      <w:r w:rsidRPr="005662D8">
        <w:rPr>
          <w:sz w:val="20"/>
          <w:szCs w:val="20"/>
          <w:lang w:val="en-US"/>
        </w:rPr>
        <w:t xml:space="preserve"> 2014. </w:t>
      </w:r>
      <w:r w:rsidRPr="005662D8">
        <w:rPr>
          <w:rStyle w:val="Enfasicorsivo"/>
          <w:sz w:val="20"/>
          <w:szCs w:val="20"/>
          <w:lang w:val="en-US"/>
        </w:rPr>
        <w:t>Azertac.</w:t>
      </w:r>
      <w:r w:rsidRPr="005662D8">
        <w:rPr>
          <w:sz w:val="20"/>
          <w:szCs w:val="20"/>
          <w:lang w:val="en-US"/>
        </w:rPr>
        <w:t xml:space="preserve"> </w:t>
      </w:r>
      <w:hyperlink r:id="rId46" w:tgtFrame="_new" w:history="1">
        <w:r w:rsidRPr="005662D8">
          <w:rPr>
            <w:rStyle w:val="Collegamentoipertestuale"/>
            <w:sz w:val="20"/>
            <w:szCs w:val="20"/>
            <w:lang w:val="en-US"/>
          </w:rPr>
          <w:t>https://azertag.az/en/xeber/president_ilham_aliyev_azerbaijan_will_restore_its_territorial_integrity-92151</w:t>
        </w:r>
      </w:hyperlink>
      <w:r w:rsidRPr="005662D8">
        <w:rPr>
          <w:sz w:val="20"/>
          <w:szCs w:val="20"/>
          <w:lang w:val="en-US"/>
        </w:rPr>
        <w:t>.</w:t>
      </w:r>
    </w:p>
    <w:p w14:paraId="277EC73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“President of Artsakh Addresses Open Letter to Russia’s Putin.”</w:t>
      </w:r>
      <w:r w:rsidRPr="005662D8">
        <w:rPr>
          <w:sz w:val="20"/>
          <w:szCs w:val="20"/>
          <w:lang w:val="en-US"/>
        </w:rPr>
        <w:t xml:space="preserve"> 2020. </w:t>
      </w:r>
      <w:r w:rsidRPr="005662D8">
        <w:rPr>
          <w:rStyle w:val="Enfasicorsivo"/>
          <w:sz w:val="20"/>
          <w:szCs w:val="20"/>
          <w:lang w:val="en-US"/>
        </w:rPr>
        <w:t>Armenpress.</w:t>
      </w:r>
      <w:r w:rsidRPr="005662D8">
        <w:rPr>
          <w:sz w:val="20"/>
          <w:szCs w:val="20"/>
          <w:lang w:val="en-US"/>
        </w:rPr>
        <w:t xml:space="preserve"> October. </w:t>
      </w:r>
      <w:hyperlink r:id="rId47" w:tgtFrame="_new" w:history="1">
        <w:r w:rsidRPr="005662D8">
          <w:rPr>
            <w:rStyle w:val="Collegamentoipertestuale"/>
            <w:sz w:val="20"/>
            <w:szCs w:val="20"/>
            <w:lang w:val="en-US"/>
          </w:rPr>
          <w:t>https://armenpress.am/en/article/1032545</w:t>
        </w:r>
      </w:hyperlink>
      <w:r w:rsidRPr="005662D8">
        <w:rPr>
          <w:sz w:val="20"/>
          <w:szCs w:val="20"/>
          <w:lang w:val="en-US"/>
        </w:rPr>
        <w:t>.</w:t>
      </w:r>
    </w:p>
    <w:p w14:paraId="45ACDF0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“President Sargsyan Received the Chairman of the Russian Railways Company Oleg Belozyorov.”</w:t>
      </w:r>
      <w:r w:rsidRPr="005662D8">
        <w:rPr>
          <w:sz w:val="20"/>
          <w:szCs w:val="20"/>
          <w:lang w:val="en-US"/>
        </w:rPr>
        <w:t xml:space="preserve"> 2016. </w:t>
      </w:r>
      <w:r w:rsidRPr="005662D8">
        <w:rPr>
          <w:rStyle w:val="Enfasicorsivo"/>
          <w:sz w:val="20"/>
          <w:szCs w:val="20"/>
          <w:lang w:val="en-US"/>
        </w:rPr>
        <w:t>President of the Republic of Armenia.</w:t>
      </w:r>
      <w:r w:rsidRPr="005662D8">
        <w:rPr>
          <w:sz w:val="20"/>
          <w:szCs w:val="20"/>
          <w:lang w:val="en-US"/>
        </w:rPr>
        <w:t xml:space="preserve"> </w:t>
      </w:r>
      <w:hyperlink r:id="rId48" w:tgtFrame="_new" w:history="1">
        <w:r w:rsidRPr="005662D8">
          <w:rPr>
            <w:rStyle w:val="Collegamentoipertestuale"/>
            <w:sz w:val="20"/>
            <w:szCs w:val="20"/>
            <w:lang w:val="en-US"/>
          </w:rPr>
          <w:t>https://www.president.am/en/press-release/item/2016/05/26/President-Serzh-Sargsyan-meeting-with-president-of-Russian-Railways-Oleg-Belozerov/</w:t>
        </w:r>
      </w:hyperlink>
      <w:r w:rsidRPr="005662D8">
        <w:rPr>
          <w:sz w:val="20"/>
          <w:szCs w:val="20"/>
          <w:lang w:val="en-US"/>
        </w:rPr>
        <w:t>.</w:t>
      </w:r>
    </w:p>
    <w:p w14:paraId="13F4A77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“Presidential Address to the Federal Assembly.”</w:t>
      </w:r>
      <w:r w:rsidRPr="005662D8">
        <w:rPr>
          <w:sz w:val="20"/>
          <w:szCs w:val="20"/>
          <w:lang w:val="en-US"/>
        </w:rPr>
        <w:t xml:space="preserve"> 2015. </w:t>
      </w:r>
      <w:r w:rsidRPr="005662D8">
        <w:rPr>
          <w:rStyle w:val="Enfasicorsivo"/>
          <w:sz w:val="20"/>
          <w:szCs w:val="20"/>
          <w:lang w:val="en-US"/>
        </w:rPr>
        <w:t>President of Russia.</w:t>
      </w:r>
      <w:r w:rsidRPr="005662D8">
        <w:rPr>
          <w:sz w:val="20"/>
          <w:szCs w:val="20"/>
          <w:lang w:val="en-US"/>
        </w:rPr>
        <w:t xml:space="preserve"> December 3. </w:t>
      </w:r>
      <w:hyperlink r:id="rId49" w:tgtFrame="_new" w:history="1">
        <w:r w:rsidRPr="005662D8">
          <w:rPr>
            <w:rStyle w:val="Collegamentoipertestuale"/>
            <w:sz w:val="20"/>
            <w:szCs w:val="20"/>
            <w:lang w:val="en-US"/>
          </w:rPr>
          <w:t>http://en.kremlin.ru/events/president/news/50864</w:t>
        </w:r>
      </w:hyperlink>
      <w:r w:rsidRPr="005662D8">
        <w:rPr>
          <w:sz w:val="20"/>
          <w:szCs w:val="20"/>
          <w:lang w:val="en-US"/>
        </w:rPr>
        <w:t>.</w:t>
      </w:r>
    </w:p>
    <w:p w14:paraId="2BC8981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“Prime Minister Vladimir Putin Meets with Representatives of Different Faiths, Ethnic and Public Organisations.”</w:t>
      </w:r>
      <w:r w:rsidRPr="005662D8">
        <w:rPr>
          <w:sz w:val="20"/>
          <w:szCs w:val="20"/>
          <w:lang w:val="en-US"/>
        </w:rPr>
        <w:t xml:space="preserve"> 2011. </w:t>
      </w:r>
      <w:r w:rsidRPr="005662D8">
        <w:rPr>
          <w:rStyle w:val="Enfasicorsivo"/>
          <w:sz w:val="20"/>
          <w:szCs w:val="20"/>
          <w:lang w:val="en-US"/>
        </w:rPr>
        <w:t>Internet-Portal Pravitel’stva Rossiyskoy Federatsii.</w:t>
      </w:r>
      <w:r w:rsidRPr="005662D8">
        <w:rPr>
          <w:sz w:val="20"/>
          <w:szCs w:val="20"/>
          <w:lang w:val="en-US"/>
        </w:rPr>
        <w:t xml:space="preserve"> </w:t>
      </w:r>
      <w:hyperlink r:id="rId50" w:tgtFrame="_new" w:history="1">
        <w:r w:rsidRPr="005662D8">
          <w:rPr>
            <w:rStyle w:val="Collegamentoipertestuale"/>
            <w:sz w:val="20"/>
            <w:szCs w:val="20"/>
            <w:lang w:val="en-US"/>
          </w:rPr>
          <w:t>http://archive.government.ru/eng/docs/15972/print/</w:t>
        </w:r>
      </w:hyperlink>
      <w:r w:rsidRPr="005662D8">
        <w:rPr>
          <w:sz w:val="20"/>
          <w:szCs w:val="20"/>
          <w:lang w:val="en-US"/>
        </w:rPr>
        <w:t>.</w:t>
      </w:r>
    </w:p>
    <w:p w14:paraId="497F250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“Public Opinion Survey: Residents of Armenia.”</w:t>
      </w:r>
      <w:r w:rsidRPr="005662D8">
        <w:rPr>
          <w:sz w:val="20"/>
          <w:szCs w:val="20"/>
          <w:lang w:val="en-US"/>
        </w:rPr>
        <w:t xml:space="preserve"> 2024. </w:t>
      </w:r>
      <w:r w:rsidRPr="005662D8">
        <w:rPr>
          <w:rStyle w:val="Enfasicorsivo"/>
          <w:sz w:val="20"/>
          <w:szCs w:val="20"/>
          <w:lang w:val="en-US"/>
        </w:rPr>
        <w:t>International Republican Institute.</w:t>
      </w:r>
      <w:r w:rsidRPr="005662D8">
        <w:rPr>
          <w:sz w:val="20"/>
          <w:szCs w:val="20"/>
          <w:lang w:val="en-US"/>
        </w:rPr>
        <w:t xml:space="preserve"> March. </w:t>
      </w:r>
      <w:hyperlink r:id="rId51" w:tgtFrame="_new" w:history="1">
        <w:r w:rsidRPr="005662D8">
          <w:rPr>
            <w:rStyle w:val="Collegamentoipertestuale"/>
            <w:sz w:val="20"/>
            <w:szCs w:val="20"/>
            <w:lang w:val="en-US"/>
          </w:rPr>
          <w:t>https://www.iri.org/resources/public-opinion-survey-residents-of-armenia/</w:t>
        </w:r>
      </w:hyperlink>
      <w:r w:rsidRPr="005662D8">
        <w:rPr>
          <w:sz w:val="20"/>
          <w:szCs w:val="20"/>
          <w:lang w:val="en-US"/>
        </w:rPr>
        <w:t>.</w:t>
      </w:r>
    </w:p>
    <w:p w14:paraId="2DBCA81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“Putin Ob’yasnil, v Svyazi s Chem Prinyal Reshenie Vozvratit’ Krym v Sostav Rossii.”</w:t>
      </w:r>
      <w:r w:rsidRPr="005662D8">
        <w:rPr>
          <w:sz w:val="20"/>
          <w:szCs w:val="20"/>
          <w:lang w:val="en-US"/>
        </w:rPr>
        <w:t xml:space="preserve"> 2015. </w:t>
      </w:r>
      <w:r w:rsidRPr="005662D8">
        <w:rPr>
          <w:rStyle w:val="Enfasicorsivo"/>
          <w:sz w:val="20"/>
          <w:szCs w:val="20"/>
          <w:lang w:val="en-US"/>
        </w:rPr>
        <w:t>TASS.</w:t>
      </w:r>
      <w:r w:rsidRPr="005662D8">
        <w:rPr>
          <w:sz w:val="20"/>
          <w:szCs w:val="20"/>
          <w:lang w:val="en-US"/>
        </w:rPr>
        <w:t xml:space="preserve"> March 9. </w:t>
      </w:r>
      <w:hyperlink r:id="rId52" w:tgtFrame="_new" w:history="1">
        <w:r w:rsidRPr="005662D8">
          <w:rPr>
            <w:rStyle w:val="Collegamentoipertestuale"/>
            <w:sz w:val="20"/>
            <w:szCs w:val="20"/>
            <w:lang w:val="en-US"/>
          </w:rPr>
          <w:t>https://tass.ru/politika/1816491</w:t>
        </w:r>
      </w:hyperlink>
      <w:r w:rsidRPr="005662D8">
        <w:rPr>
          <w:sz w:val="20"/>
          <w:szCs w:val="20"/>
          <w:lang w:val="en-US"/>
        </w:rPr>
        <w:t>.</w:t>
      </w:r>
    </w:p>
    <w:p w14:paraId="3988F0F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“Results of the Year with Vladimir Putin.”</w:t>
      </w:r>
      <w:r w:rsidRPr="005662D8">
        <w:rPr>
          <w:sz w:val="20"/>
          <w:szCs w:val="20"/>
          <w:lang w:val="en-US"/>
        </w:rPr>
        <w:t xml:space="preserve"> 2024. </w:t>
      </w:r>
      <w:r w:rsidRPr="005662D8">
        <w:rPr>
          <w:rStyle w:val="Enfasicorsivo"/>
          <w:sz w:val="20"/>
          <w:szCs w:val="20"/>
          <w:lang w:val="en-US"/>
        </w:rPr>
        <w:t>President of Russia.</w:t>
      </w:r>
      <w:r w:rsidRPr="005662D8">
        <w:rPr>
          <w:sz w:val="20"/>
          <w:szCs w:val="20"/>
          <w:lang w:val="en-US"/>
        </w:rPr>
        <w:t xml:space="preserve"> December 19. </w:t>
      </w:r>
      <w:hyperlink r:id="rId53" w:tgtFrame="_new" w:history="1">
        <w:r w:rsidRPr="005662D8">
          <w:rPr>
            <w:rStyle w:val="Collegamentoipertestuale"/>
            <w:sz w:val="20"/>
            <w:szCs w:val="20"/>
            <w:lang w:val="en-US"/>
          </w:rPr>
          <w:t>http://en.kremlin.ru/events/president/news/75909</w:t>
        </w:r>
      </w:hyperlink>
      <w:r w:rsidRPr="005662D8">
        <w:rPr>
          <w:sz w:val="20"/>
          <w:szCs w:val="20"/>
          <w:lang w:val="en-US"/>
        </w:rPr>
        <w:t>.</w:t>
      </w:r>
    </w:p>
    <w:p w14:paraId="5591FF10"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“Rossiĭskaya Eparkhiya AAC Blagoslovila Voinov Armyanskogo Batal’ona ‘Arbat’ na Nesenie Ratnoĭ Sluzhby.”</w:t>
      </w:r>
      <w:r w:rsidRPr="005662D8">
        <w:rPr>
          <w:sz w:val="20"/>
          <w:szCs w:val="20"/>
          <w:lang w:val="en-US"/>
        </w:rPr>
        <w:t xml:space="preserve"> </w:t>
      </w:r>
      <w:r w:rsidRPr="005662D8">
        <w:rPr>
          <w:sz w:val="20"/>
          <w:szCs w:val="20"/>
        </w:rPr>
        <w:t xml:space="preserve">2023. </w:t>
      </w:r>
      <w:r w:rsidRPr="005662D8">
        <w:rPr>
          <w:rStyle w:val="Enfasicorsivo"/>
          <w:sz w:val="20"/>
          <w:szCs w:val="20"/>
        </w:rPr>
        <w:t>Realtribune.ru.</w:t>
      </w:r>
      <w:r w:rsidRPr="005662D8">
        <w:rPr>
          <w:sz w:val="20"/>
          <w:szCs w:val="20"/>
        </w:rPr>
        <w:t xml:space="preserve"> July 4. </w:t>
      </w:r>
      <w:hyperlink r:id="rId54" w:tgtFrame="_new" w:history="1">
        <w:r w:rsidRPr="005662D8">
          <w:rPr>
            <w:rStyle w:val="Collegamentoipertestuale"/>
            <w:sz w:val="20"/>
            <w:szCs w:val="20"/>
          </w:rPr>
          <w:t>https://realtribune.ru/rossijskaya-eparhiya-aac-blagoslovila-voinov-armyanskogo-batalona-arbat-na-nesenie-ratnoj-sluzhby/</w:t>
        </w:r>
      </w:hyperlink>
      <w:r w:rsidRPr="005662D8">
        <w:rPr>
          <w:sz w:val="20"/>
          <w:szCs w:val="20"/>
        </w:rPr>
        <w:t>.</w:t>
      </w:r>
    </w:p>
    <w:p w14:paraId="5CF2EAE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rPr>
        <w:t>“Rossiya i SShA: Partnerstvo Ne Prezhdevremenno, a Zapazdyvaet.”</w:t>
      </w:r>
      <w:r w:rsidRPr="005662D8">
        <w:rPr>
          <w:sz w:val="20"/>
          <w:szCs w:val="20"/>
        </w:rPr>
        <w:t xml:space="preserve"> </w:t>
      </w:r>
      <w:r w:rsidRPr="005662D8">
        <w:rPr>
          <w:sz w:val="20"/>
          <w:szCs w:val="20"/>
          <w:lang w:val="en-US"/>
        </w:rPr>
        <w:t xml:space="preserve">1994. </w:t>
      </w:r>
      <w:r w:rsidRPr="005662D8">
        <w:rPr>
          <w:rStyle w:val="Enfasicorsivo"/>
          <w:sz w:val="20"/>
          <w:szCs w:val="20"/>
          <w:lang w:val="en-US"/>
        </w:rPr>
        <w:t>Izvestiya.</w:t>
      </w:r>
      <w:r w:rsidRPr="005662D8">
        <w:rPr>
          <w:sz w:val="20"/>
          <w:szCs w:val="20"/>
          <w:lang w:val="en-US"/>
        </w:rPr>
        <w:t xml:space="preserve"> </w:t>
      </w:r>
      <w:hyperlink r:id="rId55" w:tgtFrame="_new" w:history="1">
        <w:r w:rsidRPr="005662D8">
          <w:rPr>
            <w:rStyle w:val="Collegamentoipertestuale"/>
            <w:sz w:val="20"/>
            <w:szCs w:val="20"/>
            <w:lang w:val="en-US"/>
          </w:rPr>
          <w:t>https://www.dissercat.com/content/problema-rasshireniya-nato-vo-vnutripoliticheskom-protsesse-v-ssha-i-rossii-1990-1998-gg-0</w:t>
        </w:r>
      </w:hyperlink>
      <w:r w:rsidRPr="005662D8">
        <w:rPr>
          <w:sz w:val="20"/>
          <w:szCs w:val="20"/>
          <w:lang w:val="en-US"/>
        </w:rPr>
        <w:t>.</w:t>
      </w:r>
    </w:p>
    <w:p w14:paraId="6E2A241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“Ruben Vardanyan Appointment as State Minister of Artsakh.”</w:t>
      </w:r>
      <w:r w:rsidRPr="005662D8">
        <w:rPr>
          <w:sz w:val="20"/>
          <w:szCs w:val="20"/>
          <w:lang w:val="en-US"/>
        </w:rPr>
        <w:t xml:space="preserve"> 2022. </w:t>
      </w:r>
      <w:r w:rsidRPr="005662D8">
        <w:rPr>
          <w:rStyle w:val="Enfasicorsivo"/>
          <w:sz w:val="20"/>
          <w:szCs w:val="20"/>
          <w:lang w:val="en-US"/>
        </w:rPr>
        <w:t>Armenpress.</w:t>
      </w:r>
      <w:r w:rsidRPr="005662D8">
        <w:rPr>
          <w:sz w:val="20"/>
          <w:szCs w:val="20"/>
          <w:lang w:val="en-US"/>
        </w:rPr>
        <w:t xml:space="preserve"> </w:t>
      </w:r>
      <w:hyperlink r:id="rId56" w:tgtFrame="_new" w:history="1">
        <w:r w:rsidRPr="005662D8">
          <w:rPr>
            <w:rStyle w:val="Collegamentoipertestuale"/>
            <w:sz w:val="20"/>
            <w:szCs w:val="20"/>
            <w:lang w:val="en-US"/>
          </w:rPr>
          <w:t>https://armenpress.am/hy/article/1096469</w:t>
        </w:r>
      </w:hyperlink>
      <w:r w:rsidRPr="005662D8">
        <w:rPr>
          <w:sz w:val="20"/>
          <w:szCs w:val="20"/>
          <w:lang w:val="en-US"/>
        </w:rPr>
        <w:t>.</w:t>
      </w:r>
    </w:p>
    <w:p w14:paraId="61B84CF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“Russia – Bilateral Relations.”</w:t>
      </w:r>
      <w:r w:rsidRPr="005662D8">
        <w:rPr>
          <w:sz w:val="20"/>
          <w:szCs w:val="20"/>
          <w:lang w:val="en-US"/>
        </w:rPr>
        <w:t xml:space="preserve"> 2025. </w:t>
      </w:r>
      <w:r w:rsidRPr="005662D8">
        <w:rPr>
          <w:rStyle w:val="Enfasicorsivo"/>
          <w:sz w:val="20"/>
          <w:szCs w:val="20"/>
          <w:lang w:val="en-US"/>
        </w:rPr>
        <w:t>The Ministry of Foreign Affairs of the Republic of Armenia.</w:t>
      </w:r>
      <w:r w:rsidRPr="005662D8">
        <w:rPr>
          <w:sz w:val="20"/>
          <w:szCs w:val="20"/>
          <w:lang w:val="en-US"/>
        </w:rPr>
        <w:t xml:space="preserve"> Accessed October 27. </w:t>
      </w:r>
      <w:hyperlink r:id="rId57" w:tgtFrame="_new" w:history="1">
        <w:r w:rsidRPr="005662D8">
          <w:rPr>
            <w:rStyle w:val="Collegamentoipertestuale"/>
            <w:sz w:val="20"/>
            <w:szCs w:val="20"/>
            <w:lang w:val="en-US"/>
          </w:rPr>
          <w:t>https://www.mfa.am/en/bilateral-relations/ru</w:t>
        </w:r>
      </w:hyperlink>
      <w:r w:rsidRPr="005662D8">
        <w:rPr>
          <w:sz w:val="20"/>
          <w:szCs w:val="20"/>
          <w:lang w:val="en-US"/>
        </w:rPr>
        <w:t>.</w:t>
      </w:r>
    </w:p>
    <w:p w14:paraId="766D973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“Russia Has ‘Betrayed’ Armenians in Nagorno-Karabakh – Charles Michel.”</w:t>
      </w:r>
      <w:r w:rsidRPr="005662D8">
        <w:rPr>
          <w:sz w:val="20"/>
          <w:szCs w:val="20"/>
          <w:lang w:val="en-US"/>
        </w:rPr>
        <w:t xml:space="preserve"> 2023. </w:t>
      </w:r>
      <w:r w:rsidRPr="005662D8">
        <w:rPr>
          <w:rStyle w:val="Enfasicorsivo"/>
          <w:sz w:val="20"/>
          <w:szCs w:val="20"/>
          <w:lang w:val="en-US"/>
        </w:rPr>
        <w:t>Euronews.</w:t>
      </w:r>
      <w:r w:rsidRPr="005662D8">
        <w:rPr>
          <w:sz w:val="20"/>
          <w:szCs w:val="20"/>
          <w:lang w:val="en-US"/>
        </w:rPr>
        <w:t xml:space="preserve"> </w:t>
      </w:r>
      <w:hyperlink r:id="rId58" w:tgtFrame="_new" w:history="1">
        <w:r w:rsidRPr="005662D8">
          <w:rPr>
            <w:rStyle w:val="Collegamentoipertestuale"/>
            <w:sz w:val="20"/>
            <w:szCs w:val="20"/>
            <w:lang w:val="en-US"/>
          </w:rPr>
          <w:t>https://www.euronews.com/my-europe/2023/10/03/russia-has-betrayed-armenian-people-by-standing-aside-in-nagorno-karabakh-charles-michel</w:t>
        </w:r>
      </w:hyperlink>
      <w:r w:rsidRPr="005662D8">
        <w:rPr>
          <w:sz w:val="20"/>
          <w:szCs w:val="20"/>
          <w:lang w:val="en-US"/>
        </w:rPr>
        <w:t>.</w:t>
      </w:r>
    </w:p>
    <w:p w14:paraId="654FF47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“Russian Official Says Armenia Signs Arms Supply Contracts in Moscow.”</w:t>
      </w:r>
      <w:r w:rsidRPr="005662D8">
        <w:rPr>
          <w:sz w:val="20"/>
          <w:szCs w:val="20"/>
          <w:lang w:val="en-US"/>
        </w:rPr>
        <w:t xml:space="preserve"> 2021. </w:t>
      </w:r>
      <w:r w:rsidRPr="005662D8">
        <w:rPr>
          <w:rStyle w:val="Enfasicorsivo"/>
          <w:sz w:val="20"/>
          <w:szCs w:val="20"/>
          <w:lang w:val="en-US"/>
        </w:rPr>
        <w:t>Azatutyun.</w:t>
      </w:r>
      <w:r w:rsidRPr="005662D8">
        <w:rPr>
          <w:sz w:val="20"/>
          <w:szCs w:val="20"/>
          <w:lang w:val="en-US"/>
        </w:rPr>
        <w:t xml:space="preserve"> August 25. </w:t>
      </w:r>
      <w:hyperlink r:id="rId59" w:tgtFrame="_new" w:history="1">
        <w:r w:rsidRPr="005662D8">
          <w:rPr>
            <w:rStyle w:val="Collegamentoipertestuale"/>
            <w:sz w:val="20"/>
            <w:szCs w:val="20"/>
            <w:lang w:val="en-US"/>
          </w:rPr>
          <w:t>https://www.azatutyun.am/a/31428119.html</w:t>
        </w:r>
      </w:hyperlink>
      <w:r w:rsidRPr="005662D8">
        <w:rPr>
          <w:sz w:val="20"/>
          <w:szCs w:val="20"/>
          <w:lang w:val="en-US"/>
        </w:rPr>
        <w:t>.</w:t>
      </w:r>
    </w:p>
    <w:p w14:paraId="4763975C"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“Russian-Armenian Leader Plays Key Role in Release of American Prisoner.”</w:t>
      </w:r>
      <w:r w:rsidRPr="005662D8">
        <w:rPr>
          <w:sz w:val="20"/>
          <w:szCs w:val="20"/>
          <w:lang w:val="en-US"/>
        </w:rPr>
        <w:t xml:space="preserve"> </w:t>
      </w:r>
      <w:r w:rsidRPr="005662D8">
        <w:rPr>
          <w:sz w:val="20"/>
          <w:szCs w:val="20"/>
        </w:rPr>
        <w:t xml:space="preserve">2022. </w:t>
      </w:r>
      <w:r w:rsidRPr="005662D8">
        <w:rPr>
          <w:rStyle w:val="Enfasicorsivo"/>
          <w:sz w:val="20"/>
          <w:szCs w:val="20"/>
        </w:rPr>
        <w:t>Asbarez.</w:t>
      </w:r>
      <w:r w:rsidRPr="005662D8">
        <w:rPr>
          <w:sz w:val="20"/>
          <w:szCs w:val="20"/>
        </w:rPr>
        <w:t xml:space="preserve"> </w:t>
      </w:r>
      <w:hyperlink r:id="rId60" w:tgtFrame="_new" w:history="1">
        <w:r w:rsidRPr="005662D8">
          <w:rPr>
            <w:rStyle w:val="Collegamentoipertestuale"/>
            <w:sz w:val="20"/>
            <w:szCs w:val="20"/>
          </w:rPr>
          <w:t>https://asbarez.com/russian-armenian-leader-plays-key-role-in-release-american-prisoner/</w:t>
        </w:r>
      </w:hyperlink>
      <w:r w:rsidRPr="005662D8">
        <w:rPr>
          <w:sz w:val="20"/>
          <w:szCs w:val="20"/>
        </w:rPr>
        <w:t>.</w:t>
      </w:r>
    </w:p>
    <w:p w14:paraId="52B27B7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“Sailors Tell of Ordeal in Nigerian Jail.”</w:t>
      </w:r>
      <w:r w:rsidRPr="005662D8">
        <w:rPr>
          <w:sz w:val="20"/>
          <w:szCs w:val="20"/>
          <w:lang w:val="en-US"/>
        </w:rPr>
        <w:t xml:space="preserve"> 2008. </w:t>
      </w:r>
      <w:r w:rsidRPr="005662D8">
        <w:rPr>
          <w:rStyle w:val="Enfasicorsivo"/>
          <w:sz w:val="20"/>
          <w:szCs w:val="20"/>
          <w:lang w:val="en-US"/>
        </w:rPr>
        <w:t>The Moscow Times.</w:t>
      </w:r>
      <w:r w:rsidRPr="005662D8">
        <w:rPr>
          <w:sz w:val="20"/>
          <w:szCs w:val="20"/>
          <w:lang w:val="en-US"/>
        </w:rPr>
        <w:t xml:space="preserve"> February 18. </w:t>
      </w:r>
      <w:hyperlink r:id="rId61" w:tgtFrame="_new" w:history="1">
        <w:r w:rsidRPr="005662D8">
          <w:rPr>
            <w:rStyle w:val="Collegamentoipertestuale"/>
            <w:sz w:val="20"/>
            <w:szCs w:val="20"/>
            <w:lang w:val="en-US"/>
          </w:rPr>
          <w:t>https://www.themoscowtimes.com/archive/sailors-tell-of-ordeal-in-nigerian-jail</w:t>
        </w:r>
      </w:hyperlink>
      <w:r w:rsidRPr="005662D8">
        <w:rPr>
          <w:sz w:val="20"/>
          <w:szCs w:val="20"/>
          <w:lang w:val="en-US"/>
        </w:rPr>
        <w:t>.</w:t>
      </w:r>
    </w:p>
    <w:p w14:paraId="243846C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“Semyon Bagdasarov.”</w:t>
      </w:r>
      <w:r w:rsidRPr="005662D8">
        <w:rPr>
          <w:sz w:val="20"/>
          <w:szCs w:val="20"/>
          <w:lang w:val="en-US"/>
        </w:rPr>
        <w:t xml:space="preserve"> 2025. </w:t>
      </w:r>
      <w:r w:rsidRPr="005662D8">
        <w:rPr>
          <w:rStyle w:val="Enfasicorsivo"/>
          <w:sz w:val="20"/>
          <w:szCs w:val="20"/>
          <w:lang w:val="en-US"/>
        </w:rPr>
        <w:t>Parlamentskaya Gazeta.</w:t>
      </w:r>
      <w:r w:rsidRPr="005662D8">
        <w:rPr>
          <w:sz w:val="20"/>
          <w:szCs w:val="20"/>
          <w:lang w:val="en-US"/>
        </w:rPr>
        <w:t xml:space="preserve"> Accessed October 24. </w:t>
      </w:r>
      <w:hyperlink r:id="rId62" w:tgtFrame="_new" w:history="1">
        <w:r w:rsidRPr="005662D8">
          <w:rPr>
            <w:rStyle w:val="Collegamentoipertestuale"/>
            <w:sz w:val="20"/>
            <w:szCs w:val="20"/>
            <w:lang w:val="en-US"/>
          </w:rPr>
          <w:t>https://www.pnp.ru/person/semyon-bagdasarov/</w:t>
        </w:r>
      </w:hyperlink>
      <w:r w:rsidRPr="005662D8">
        <w:rPr>
          <w:sz w:val="20"/>
          <w:szCs w:val="20"/>
          <w:lang w:val="en-US"/>
        </w:rPr>
        <w:t>.</w:t>
      </w:r>
    </w:p>
    <w:p w14:paraId="1E00D88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“Sergey Lavrov’s Remarks and Answers to Media Questions at a News Conference on Russia’s Diplomacy Performance in 2015, Moscow, January 26, 2016.”</w:t>
      </w:r>
      <w:r w:rsidRPr="005662D8">
        <w:rPr>
          <w:sz w:val="20"/>
          <w:szCs w:val="20"/>
          <w:lang w:val="en-US"/>
        </w:rPr>
        <w:t xml:space="preserve"> 2016. </w:t>
      </w:r>
      <w:r w:rsidRPr="005662D8">
        <w:rPr>
          <w:rStyle w:val="Enfasicorsivo"/>
          <w:sz w:val="20"/>
          <w:szCs w:val="20"/>
          <w:lang w:val="en-US"/>
        </w:rPr>
        <w:t>The Ministry of Foreign Affairs of the Russian Federation.</w:t>
      </w:r>
      <w:r w:rsidRPr="005662D8">
        <w:rPr>
          <w:sz w:val="20"/>
          <w:szCs w:val="20"/>
          <w:lang w:val="en-US"/>
        </w:rPr>
        <w:t xml:space="preserve"> </w:t>
      </w:r>
      <w:hyperlink r:id="rId63" w:tgtFrame="_new" w:history="1">
        <w:r w:rsidRPr="005662D8">
          <w:rPr>
            <w:rStyle w:val="Collegamentoipertestuale"/>
            <w:sz w:val="20"/>
            <w:szCs w:val="20"/>
            <w:lang w:val="en-US"/>
          </w:rPr>
          <w:t>https://www.mid.ru/en/foreign_policy/news/1521545/</w:t>
        </w:r>
      </w:hyperlink>
      <w:r w:rsidRPr="005662D8">
        <w:rPr>
          <w:sz w:val="20"/>
          <w:szCs w:val="20"/>
          <w:lang w:val="en-US"/>
        </w:rPr>
        <w:t>.</w:t>
      </w:r>
    </w:p>
    <w:p w14:paraId="217F7369"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“Seven Armenians among 200 Richest Businessmen in Russia.”</w:t>
      </w:r>
      <w:r w:rsidRPr="005662D8">
        <w:rPr>
          <w:sz w:val="20"/>
          <w:szCs w:val="20"/>
          <w:lang w:val="en-US"/>
        </w:rPr>
        <w:t xml:space="preserve"> </w:t>
      </w:r>
      <w:r w:rsidRPr="005662D8">
        <w:rPr>
          <w:sz w:val="20"/>
          <w:szCs w:val="20"/>
        </w:rPr>
        <w:t xml:space="preserve">2016. </w:t>
      </w:r>
      <w:r w:rsidRPr="005662D8">
        <w:rPr>
          <w:rStyle w:val="Enfasicorsivo"/>
          <w:sz w:val="20"/>
          <w:szCs w:val="20"/>
        </w:rPr>
        <w:t>Asbarez.</w:t>
      </w:r>
      <w:r w:rsidRPr="005662D8">
        <w:rPr>
          <w:sz w:val="20"/>
          <w:szCs w:val="20"/>
        </w:rPr>
        <w:t xml:space="preserve"> </w:t>
      </w:r>
      <w:hyperlink r:id="rId64" w:tgtFrame="_new" w:history="1">
        <w:r w:rsidRPr="005662D8">
          <w:rPr>
            <w:rStyle w:val="Collegamentoipertestuale"/>
            <w:sz w:val="20"/>
            <w:szCs w:val="20"/>
          </w:rPr>
          <w:t>https://asbarez.com/seven-armenians-among-200-richest-businessmen-in-russia/</w:t>
        </w:r>
      </w:hyperlink>
      <w:r w:rsidRPr="005662D8">
        <w:rPr>
          <w:sz w:val="20"/>
          <w:szCs w:val="20"/>
        </w:rPr>
        <w:t>.</w:t>
      </w:r>
    </w:p>
    <w:p w14:paraId="317B37B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“Shusha Declaration on Allied Relations between the Republic of Azerbaijan and the Republic of Turkey.”</w:t>
      </w:r>
      <w:r w:rsidRPr="005662D8">
        <w:rPr>
          <w:sz w:val="20"/>
          <w:szCs w:val="20"/>
          <w:lang w:val="en-US"/>
        </w:rPr>
        <w:t xml:space="preserve"> 2021. </w:t>
      </w:r>
      <w:r w:rsidRPr="005662D8">
        <w:rPr>
          <w:rStyle w:val="Enfasicorsivo"/>
          <w:sz w:val="20"/>
          <w:szCs w:val="20"/>
          <w:lang w:val="en-US"/>
        </w:rPr>
        <w:t>President of Azerbaijan.</w:t>
      </w:r>
      <w:r w:rsidRPr="005662D8">
        <w:rPr>
          <w:sz w:val="20"/>
          <w:szCs w:val="20"/>
          <w:lang w:val="en-US"/>
        </w:rPr>
        <w:t xml:space="preserve"> June. </w:t>
      </w:r>
      <w:hyperlink r:id="rId65" w:tgtFrame="_new" w:history="1">
        <w:r w:rsidRPr="005662D8">
          <w:rPr>
            <w:rStyle w:val="Collegamentoipertestuale"/>
            <w:sz w:val="20"/>
            <w:szCs w:val="20"/>
            <w:lang w:val="en-US"/>
          </w:rPr>
          <w:t>https://president.az/en/articles/view/52122</w:t>
        </w:r>
      </w:hyperlink>
      <w:r w:rsidRPr="005662D8">
        <w:rPr>
          <w:sz w:val="20"/>
          <w:szCs w:val="20"/>
          <w:lang w:val="en-US"/>
        </w:rPr>
        <w:t>.</w:t>
      </w:r>
    </w:p>
    <w:p w14:paraId="5F16617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“Signing of Treaties on Accession of Donetsk and Lugansk People’s Republics and Zaporozhye and Kherson Regions to Russia.”</w:t>
      </w:r>
      <w:r w:rsidRPr="005662D8">
        <w:rPr>
          <w:sz w:val="20"/>
          <w:szCs w:val="20"/>
          <w:lang w:val="en-US"/>
        </w:rPr>
        <w:t xml:space="preserve"> 2022. </w:t>
      </w:r>
      <w:r w:rsidRPr="005662D8">
        <w:rPr>
          <w:rStyle w:val="Enfasicorsivo"/>
          <w:sz w:val="20"/>
          <w:szCs w:val="20"/>
          <w:lang w:val="en-US"/>
        </w:rPr>
        <w:t>President of Russia.</w:t>
      </w:r>
      <w:r w:rsidRPr="005662D8">
        <w:rPr>
          <w:sz w:val="20"/>
          <w:szCs w:val="20"/>
          <w:lang w:val="en-US"/>
        </w:rPr>
        <w:t xml:space="preserve"> September 30. </w:t>
      </w:r>
      <w:hyperlink r:id="rId66" w:tgtFrame="_new" w:history="1">
        <w:r w:rsidRPr="005662D8">
          <w:rPr>
            <w:rStyle w:val="Collegamentoipertestuale"/>
            <w:sz w:val="20"/>
            <w:szCs w:val="20"/>
            <w:lang w:val="en-US"/>
          </w:rPr>
          <w:t>http://en.kremlin.ru/events/president/news/69465</w:t>
        </w:r>
      </w:hyperlink>
      <w:r w:rsidRPr="005662D8">
        <w:rPr>
          <w:sz w:val="20"/>
          <w:szCs w:val="20"/>
          <w:lang w:val="en-US"/>
        </w:rPr>
        <w:t>.</w:t>
      </w:r>
    </w:p>
    <w:p w14:paraId="78A7071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“Speech and the Following Discussion at the Munich Conference on Security Policy.”</w:t>
      </w:r>
      <w:r w:rsidRPr="005662D8">
        <w:rPr>
          <w:sz w:val="20"/>
          <w:szCs w:val="20"/>
          <w:lang w:val="en-US"/>
        </w:rPr>
        <w:t xml:space="preserve"> 2007. </w:t>
      </w:r>
      <w:r w:rsidRPr="005662D8">
        <w:rPr>
          <w:rStyle w:val="Enfasicorsivo"/>
          <w:sz w:val="20"/>
          <w:szCs w:val="20"/>
          <w:lang w:val="en-US"/>
        </w:rPr>
        <w:t>President of Russia.</w:t>
      </w:r>
      <w:r w:rsidRPr="005662D8">
        <w:rPr>
          <w:sz w:val="20"/>
          <w:szCs w:val="20"/>
          <w:lang w:val="en-US"/>
        </w:rPr>
        <w:t xml:space="preserve"> February 10. </w:t>
      </w:r>
      <w:hyperlink r:id="rId67" w:tgtFrame="_new" w:history="1">
        <w:r w:rsidRPr="005662D8">
          <w:rPr>
            <w:rStyle w:val="Collegamentoipertestuale"/>
            <w:sz w:val="20"/>
            <w:szCs w:val="20"/>
            <w:lang w:val="en-US"/>
          </w:rPr>
          <w:t>http://en.kremlin.ru/events/president/transcripts/24034</w:t>
        </w:r>
      </w:hyperlink>
      <w:r w:rsidRPr="005662D8">
        <w:rPr>
          <w:sz w:val="20"/>
          <w:szCs w:val="20"/>
          <w:lang w:val="en-US"/>
        </w:rPr>
        <w:t>.</w:t>
      </w:r>
    </w:p>
    <w:p w14:paraId="3AC737B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“Speech at the Military Parade Marking the 63rd Anniversary of Victory in the Great Patriotic War.”</w:t>
      </w:r>
      <w:r w:rsidRPr="005662D8">
        <w:rPr>
          <w:sz w:val="20"/>
          <w:szCs w:val="20"/>
          <w:lang w:val="en-US"/>
        </w:rPr>
        <w:t xml:space="preserve"> 2008. </w:t>
      </w:r>
      <w:r w:rsidRPr="005662D8">
        <w:rPr>
          <w:rStyle w:val="Enfasicorsivo"/>
          <w:sz w:val="20"/>
          <w:szCs w:val="20"/>
          <w:lang w:val="en-US"/>
        </w:rPr>
        <w:t>President of Russia.</w:t>
      </w:r>
      <w:r w:rsidRPr="005662D8">
        <w:rPr>
          <w:sz w:val="20"/>
          <w:szCs w:val="20"/>
          <w:lang w:val="en-US"/>
        </w:rPr>
        <w:t xml:space="preserve"> May 9. </w:t>
      </w:r>
      <w:hyperlink r:id="rId68" w:tgtFrame="_new" w:history="1">
        <w:r w:rsidRPr="005662D8">
          <w:rPr>
            <w:rStyle w:val="Collegamentoipertestuale"/>
            <w:sz w:val="20"/>
            <w:szCs w:val="20"/>
            <w:lang w:val="en-US"/>
          </w:rPr>
          <w:t>http://www.en.kremlin.ru/events/president/transcripts/30</w:t>
        </w:r>
      </w:hyperlink>
      <w:r w:rsidRPr="005662D8">
        <w:rPr>
          <w:sz w:val="20"/>
          <w:szCs w:val="20"/>
          <w:lang w:val="en-US"/>
        </w:rPr>
        <w:t>.</w:t>
      </w:r>
    </w:p>
    <w:p w14:paraId="07B27E1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“St Petersburg International Economic Forum.”</w:t>
      </w:r>
      <w:r w:rsidRPr="005662D8">
        <w:rPr>
          <w:sz w:val="20"/>
          <w:szCs w:val="20"/>
          <w:lang w:val="en-US"/>
        </w:rPr>
        <w:t xml:space="preserve"> 2014a. </w:t>
      </w:r>
      <w:r w:rsidRPr="005662D8">
        <w:rPr>
          <w:rStyle w:val="Enfasicorsivo"/>
          <w:sz w:val="20"/>
          <w:szCs w:val="20"/>
          <w:lang w:val="en-US"/>
        </w:rPr>
        <w:t>President of Russia.</w:t>
      </w:r>
      <w:r w:rsidRPr="005662D8">
        <w:rPr>
          <w:sz w:val="20"/>
          <w:szCs w:val="20"/>
          <w:lang w:val="en-US"/>
        </w:rPr>
        <w:t xml:space="preserve"> May 23. </w:t>
      </w:r>
      <w:hyperlink r:id="rId69" w:tgtFrame="_new" w:history="1">
        <w:r w:rsidRPr="005662D8">
          <w:rPr>
            <w:rStyle w:val="Collegamentoipertestuale"/>
            <w:sz w:val="20"/>
            <w:szCs w:val="20"/>
            <w:lang w:val="en-US"/>
          </w:rPr>
          <w:t>http://en.kremlin.ru/events/president/news/21080</w:t>
        </w:r>
      </w:hyperlink>
      <w:r w:rsidRPr="005662D8">
        <w:rPr>
          <w:sz w:val="20"/>
          <w:szCs w:val="20"/>
          <w:lang w:val="en-US"/>
        </w:rPr>
        <w:t>.</w:t>
      </w:r>
    </w:p>
    <w:p w14:paraId="659D15A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“Statement by President of the Republic of Azerbaijan, Prime Minister of the Republic of Armenia and President of the Russian Federation.”</w:t>
      </w:r>
      <w:r w:rsidRPr="005662D8">
        <w:rPr>
          <w:sz w:val="20"/>
          <w:szCs w:val="20"/>
          <w:lang w:val="en-US"/>
        </w:rPr>
        <w:t xml:space="preserve"> 2020. </w:t>
      </w:r>
      <w:r w:rsidRPr="005662D8">
        <w:rPr>
          <w:rStyle w:val="Enfasicorsivo"/>
          <w:sz w:val="20"/>
          <w:szCs w:val="20"/>
          <w:lang w:val="en-US"/>
        </w:rPr>
        <w:t>President of Russia.</w:t>
      </w:r>
      <w:r w:rsidRPr="005662D8">
        <w:rPr>
          <w:sz w:val="20"/>
          <w:szCs w:val="20"/>
          <w:lang w:val="en-US"/>
        </w:rPr>
        <w:t xml:space="preserve"> November 10. </w:t>
      </w:r>
      <w:hyperlink r:id="rId70" w:tgtFrame="_new" w:history="1">
        <w:r w:rsidRPr="005662D8">
          <w:rPr>
            <w:rStyle w:val="Collegamentoipertestuale"/>
            <w:sz w:val="20"/>
            <w:szCs w:val="20"/>
            <w:lang w:val="en-US"/>
          </w:rPr>
          <w:t>http://en.kremlin.ru/events/president/news/64384</w:t>
        </w:r>
      </w:hyperlink>
      <w:r w:rsidRPr="005662D8">
        <w:rPr>
          <w:sz w:val="20"/>
          <w:szCs w:val="20"/>
          <w:lang w:val="en-US"/>
        </w:rPr>
        <w:t>.</w:t>
      </w:r>
    </w:p>
    <w:p w14:paraId="565539F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“The Concept of the Foreign Policy of the Russian Federation.”</w:t>
      </w:r>
      <w:r w:rsidRPr="005662D8">
        <w:rPr>
          <w:sz w:val="20"/>
          <w:szCs w:val="20"/>
          <w:lang w:val="en-US"/>
        </w:rPr>
        <w:t xml:space="preserve"> 2023. Ministry of Foreign Affairs of the Russian Federation. Available at: </w:t>
      </w:r>
      <w:hyperlink r:id="rId71" w:tgtFrame="_new" w:history="1">
        <w:r w:rsidRPr="005662D8">
          <w:rPr>
            <w:rStyle w:val="Collegamentoipertestuale"/>
            <w:sz w:val="20"/>
            <w:szCs w:val="20"/>
            <w:lang w:val="en-US"/>
          </w:rPr>
          <w:t>https://mid.ru/en/foreign_policy/fundamental_documents/1860586/</w:t>
        </w:r>
      </w:hyperlink>
      <w:r w:rsidRPr="005662D8">
        <w:rPr>
          <w:sz w:val="20"/>
          <w:szCs w:val="20"/>
          <w:lang w:val="en-US"/>
        </w:rPr>
        <w:t xml:space="preserve"> (accessed on November 19, 2025).</w:t>
      </w:r>
    </w:p>
    <w:p w14:paraId="1E9E2B80"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“The Nagorno-Karabakh Conflict: A Visual Explainer.”</w:t>
      </w:r>
      <w:r w:rsidRPr="005662D8">
        <w:rPr>
          <w:sz w:val="20"/>
          <w:szCs w:val="20"/>
          <w:lang w:val="en-US"/>
        </w:rPr>
        <w:t xml:space="preserve"> 2025. </w:t>
      </w:r>
      <w:r w:rsidRPr="005662D8">
        <w:rPr>
          <w:rStyle w:val="Enfasicorsivo"/>
          <w:sz w:val="20"/>
          <w:szCs w:val="20"/>
          <w:lang w:val="en-US"/>
        </w:rPr>
        <w:t>International Crisis Group.</w:t>
      </w:r>
      <w:r w:rsidRPr="005662D8">
        <w:rPr>
          <w:sz w:val="20"/>
          <w:szCs w:val="20"/>
          <w:lang w:val="en-US"/>
        </w:rPr>
        <w:t xml:space="preserve"> Accessed October 24. </w:t>
      </w:r>
      <w:hyperlink r:id="rId72" w:tgtFrame="_new" w:history="1">
        <w:r w:rsidRPr="005662D8">
          <w:rPr>
            <w:rStyle w:val="Collegamentoipertestuale"/>
            <w:sz w:val="20"/>
            <w:szCs w:val="20"/>
          </w:rPr>
          <w:t>https://www.crisisgroup.org/content/nagorno-karabakh-conflict-visual-explainer</w:t>
        </w:r>
      </w:hyperlink>
      <w:r w:rsidRPr="005662D8">
        <w:rPr>
          <w:sz w:val="20"/>
          <w:szCs w:val="20"/>
        </w:rPr>
        <w:t>.</w:t>
      </w:r>
    </w:p>
    <w:p w14:paraId="34F794C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“The Reception on the Occasion of Heroes of the Fatherland Day.”</w:t>
      </w:r>
      <w:r w:rsidRPr="005662D8">
        <w:rPr>
          <w:sz w:val="20"/>
          <w:szCs w:val="20"/>
          <w:lang w:val="en-US"/>
        </w:rPr>
        <w:t xml:space="preserve"> 2016. </w:t>
      </w:r>
      <w:r w:rsidRPr="005662D8">
        <w:rPr>
          <w:rStyle w:val="Enfasicorsivo"/>
          <w:sz w:val="20"/>
          <w:szCs w:val="20"/>
          <w:lang w:val="en-US"/>
        </w:rPr>
        <w:t>President of Russia.</w:t>
      </w:r>
      <w:r w:rsidRPr="005662D8">
        <w:rPr>
          <w:sz w:val="20"/>
          <w:szCs w:val="20"/>
          <w:lang w:val="en-US"/>
        </w:rPr>
        <w:t xml:space="preserve"> December 9. </w:t>
      </w:r>
      <w:hyperlink r:id="rId73" w:tgtFrame="_new" w:history="1">
        <w:r w:rsidRPr="005662D8">
          <w:rPr>
            <w:rStyle w:val="Collegamentoipertestuale"/>
            <w:sz w:val="20"/>
            <w:szCs w:val="20"/>
            <w:lang w:val="en-US"/>
          </w:rPr>
          <w:t>http://www.en.special.kremlin.ru/events/president/transcripts/24194</w:t>
        </w:r>
      </w:hyperlink>
      <w:r w:rsidRPr="005662D8">
        <w:rPr>
          <w:sz w:val="20"/>
          <w:szCs w:val="20"/>
          <w:lang w:val="en-US"/>
        </w:rPr>
        <w:t>.</w:t>
      </w:r>
    </w:p>
    <w:p w14:paraId="1912A65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“The Syrian Mercenaries Used as ‘Cannon Fodder’ in Nagorno-Karabakh.”</w:t>
      </w:r>
      <w:r w:rsidRPr="005662D8">
        <w:rPr>
          <w:sz w:val="20"/>
          <w:szCs w:val="20"/>
          <w:lang w:val="en-US"/>
        </w:rPr>
        <w:t xml:space="preserve"> 2020. </w:t>
      </w:r>
      <w:r w:rsidRPr="005662D8">
        <w:rPr>
          <w:rStyle w:val="Enfasicorsivo"/>
          <w:sz w:val="20"/>
          <w:szCs w:val="20"/>
          <w:lang w:val="en-US"/>
        </w:rPr>
        <w:t>BBC News.</w:t>
      </w:r>
      <w:r w:rsidRPr="005662D8">
        <w:rPr>
          <w:sz w:val="20"/>
          <w:szCs w:val="20"/>
          <w:lang w:val="en-US"/>
        </w:rPr>
        <w:t xml:space="preserve"> December 10. </w:t>
      </w:r>
      <w:hyperlink r:id="rId74" w:tgtFrame="_new" w:history="1">
        <w:r w:rsidRPr="005662D8">
          <w:rPr>
            <w:rStyle w:val="Collegamentoipertestuale"/>
            <w:sz w:val="20"/>
            <w:szCs w:val="20"/>
            <w:lang w:val="en-US"/>
          </w:rPr>
          <w:t>https://www.bbc.com/news/stories-55238803</w:t>
        </w:r>
      </w:hyperlink>
      <w:r w:rsidRPr="005662D8">
        <w:rPr>
          <w:sz w:val="20"/>
          <w:szCs w:val="20"/>
          <w:lang w:val="en-US"/>
        </w:rPr>
        <w:t>.</w:t>
      </w:r>
    </w:p>
    <w:p w14:paraId="7B84964B" w14:textId="77777777" w:rsidR="00E9035E" w:rsidRPr="005662D8" w:rsidRDefault="00E9035E" w:rsidP="005662D8">
      <w:pPr>
        <w:pStyle w:val="NormaleWeb"/>
        <w:spacing w:line="240" w:lineRule="auto"/>
        <w:rPr>
          <w:sz w:val="20"/>
          <w:szCs w:val="20"/>
          <w:lang w:val="en-US"/>
        </w:rPr>
      </w:pPr>
      <w:r w:rsidRPr="005662D8">
        <w:rPr>
          <w:iCs/>
          <w:sz w:val="20"/>
          <w:szCs w:val="20"/>
          <w:lang w:val="en-US"/>
        </w:rPr>
        <w:t>“Treaty between the Russian Federation and the Republic of Armenia on the status of the Border Guard Troops of the Russian Federation deployed on the territory of the Republic of Armenia</w:t>
      </w:r>
      <w:r w:rsidRPr="005662D8">
        <w:rPr>
          <w:sz w:val="20"/>
          <w:szCs w:val="20"/>
          <w:lang w:val="en-US"/>
        </w:rPr>
        <w:t xml:space="preserve">.” UIC. (1992). </w:t>
      </w:r>
      <w:hyperlink r:id="rId75" w:history="1">
        <w:r w:rsidRPr="005662D8">
          <w:rPr>
            <w:rStyle w:val="Collegamentoipertestuale"/>
            <w:sz w:val="20"/>
            <w:szCs w:val="20"/>
            <w:lang w:val="en-US"/>
          </w:rPr>
          <w:t>https://uic.am/wp-content/uploads/2015/01/paym-sahmanapah-1992-rus.pdf</w:t>
        </w:r>
      </w:hyperlink>
    </w:p>
    <w:p w14:paraId="2886C60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“UAR – About Us.”</w:t>
      </w:r>
      <w:r w:rsidRPr="005662D8">
        <w:rPr>
          <w:sz w:val="20"/>
          <w:szCs w:val="20"/>
          <w:lang w:val="en-US"/>
        </w:rPr>
        <w:t xml:space="preserve"> 2025. </w:t>
      </w:r>
      <w:r w:rsidRPr="005662D8">
        <w:rPr>
          <w:rStyle w:val="Enfasicorsivo"/>
          <w:sz w:val="20"/>
          <w:szCs w:val="20"/>
          <w:lang w:val="en-US"/>
        </w:rPr>
        <w:t>Union of Russian Armenians (UAR).</w:t>
      </w:r>
      <w:r w:rsidRPr="005662D8">
        <w:rPr>
          <w:sz w:val="20"/>
          <w:szCs w:val="20"/>
          <w:lang w:val="en-US"/>
        </w:rPr>
        <w:t xml:space="preserve"> Accessed October 27, 2025. </w:t>
      </w:r>
      <w:hyperlink r:id="rId76" w:tgtFrame="_new" w:history="1">
        <w:r w:rsidRPr="005662D8">
          <w:rPr>
            <w:rStyle w:val="Collegamentoipertestuale"/>
            <w:sz w:val="20"/>
            <w:szCs w:val="20"/>
            <w:lang w:val="en-US"/>
          </w:rPr>
          <w:t>https://sarinfo.org/about/</w:t>
        </w:r>
      </w:hyperlink>
      <w:r w:rsidRPr="005662D8">
        <w:rPr>
          <w:sz w:val="20"/>
          <w:szCs w:val="20"/>
          <w:lang w:val="en-US"/>
        </w:rPr>
        <w:t>.</w:t>
      </w:r>
    </w:p>
    <w:p w14:paraId="55674A3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“Ukraine Grain Exports Deal to Be Signed Next Week, Says Turkey.”</w:t>
      </w:r>
      <w:r w:rsidRPr="005662D8">
        <w:rPr>
          <w:sz w:val="20"/>
          <w:szCs w:val="20"/>
          <w:lang w:val="en-US"/>
        </w:rPr>
        <w:t xml:space="preserve"> 2022. </w:t>
      </w:r>
      <w:r w:rsidRPr="005662D8">
        <w:rPr>
          <w:rStyle w:val="Enfasicorsivo"/>
          <w:sz w:val="20"/>
          <w:szCs w:val="20"/>
          <w:lang w:val="en-US"/>
        </w:rPr>
        <w:t>Reuters.</w:t>
      </w:r>
      <w:r w:rsidRPr="005662D8">
        <w:rPr>
          <w:sz w:val="20"/>
          <w:szCs w:val="20"/>
          <w:lang w:val="en-US"/>
        </w:rPr>
        <w:t xml:space="preserve"> </w:t>
      </w:r>
      <w:hyperlink r:id="rId77" w:tgtFrame="_new" w:history="1">
        <w:r w:rsidRPr="005662D8">
          <w:rPr>
            <w:rStyle w:val="Collegamentoipertestuale"/>
            <w:sz w:val="20"/>
            <w:szCs w:val="20"/>
            <w:lang w:val="en-US"/>
          </w:rPr>
          <w:t>https://www.reuters.com/world/turkey-russia-ukraine-un-set-meet-grain-exports-2022-07-13/</w:t>
        </w:r>
      </w:hyperlink>
      <w:r w:rsidRPr="005662D8">
        <w:rPr>
          <w:sz w:val="20"/>
          <w:szCs w:val="20"/>
          <w:lang w:val="en-US"/>
        </w:rPr>
        <w:t>.</w:t>
      </w:r>
    </w:p>
    <w:p w14:paraId="7696F3B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“Ukraine Says Russia Has Nearly 100,000 Troops near Its Border.”</w:t>
      </w:r>
      <w:r w:rsidRPr="005662D8">
        <w:rPr>
          <w:sz w:val="20"/>
          <w:szCs w:val="20"/>
          <w:lang w:val="en-US"/>
        </w:rPr>
        <w:t xml:space="preserve"> 2021. </w:t>
      </w:r>
      <w:r w:rsidRPr="005662D8">
        <w:rPr>
          <w:rStyle w:val="Enfasicorsivo"/>
          <w:sz w:val="20"/>
          <w:szCs w:val="20"/>
          <w:lang w:val="en-US"/>
        </w:rPr>
        <w:t>Reuters.</w:t>
      </w:r>
      <w:r w:rsidRPr="005662D8">
        <w:rPr>
          <w:sz w:val="20"/>
          <w:szCs w:val="20"/>
          <w:lang w:val="en-US"/>
        </w:rPr>
        <w:t xml:space="preserve"> </w:t>
      </w:r>
      <w:hyperlink r:id="rId78" w:tgtFrame="_new" w:history="1">
        <w:r w:rsidRPr="005662D8">
          <w:rPr>
            <w:rStyle w:val="Collegamentoipertestuale"/>
            <w:sz w:val="20"/>
            <w:szCs w:val="20"/>
            <w:lang w:val="en-US"/>
          </w:rPr>
          <w:t>https://www.reuters.com/world/europe/ukraine-says-russia-has-nearly-100000-troops-near-its-border-2021-11-13/</w:t>
        </w:r>
      </w:hyperlink>
      <w:r w:rsidRPr="005662D8">
        <w:rPr>
          <w:sz w:val="20"/>
          <w:szCs w:val="20"/>
          <w:lang w:val="en-US"/>
        </w:rPr>
        <w:t>.</w:t>
      </w:r>
    </w:p>
    <w:p w14:paraId="1811E97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“Visit to Ulan-Ude Aviation Plant.”</w:t>
      </w:r>
      <w:r w:rsidRPr="005662D8">
        <w:rPr>
          <w:sz w:val="20"/>
          <w:szCs w:val="20"/>
          <w:lang w:val="en-US"/>
        </w:rPr>
        <w:t xml:space="preserve"> 2023. </w:t>
      </w:r>
      <w:r w:rsidRPr="005662D8">
        <w:rPr>
          <w:rStyle w:val="Enfasicorsivo"/>
          <w:sz w:val="20"/>
          <w:szCs w:val="20"/>
          <w:lang w:val="en-US"/>
        </w:rPr>
        <w:t>President of Russia.</w:t>
      </w:r>
      <w:r w:rsidRPr="005662D8">
        <w:rPr>
          <w:sz w:val="20"/>
          <w:szCs w:val="20"/>
          <w:lang w:val="en-US"/>
        </w:rPr>
        <w:t xml:space="preserve"> March 14. </w:t>
      </w:r>
      <w:hyperlink r:id="rId79" w:tgtFrame="_new" w:history="1">
        <w:r w:rsidRPr="005662D8">
          <w:rPr>
            <w:rStyle w:val="Collegamentoipertestuale"/>
            <w:sz w:val="20"/>
            <w:szCs w:val="20"/>
            <w:lang w:val="en-US"/>
          </w:rPr>
          <w:t>http://en.kremlin.ru/events/president/news/70674</w:t>
        </w:r>
      </w:hyperlink>
      <w:r w:rsidRPr="005662D8">
        <w:rPr>
          <w:sz w:val="20"/>
          <w:szCs w:val="20"/>
          <w:lang w:val="en-US"/>
        </w:rPr>
        <w:t>.</w:t>
      </w:r>
    </w:p>
    <w:p w14:paraId="02353BB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rPr>
        <w:t>“Vystuplenie Svyateishego Patriarkha Kirilla na Torsheztvennom Otkrytii III Assemblei Russkogo Mira.”</w:t>
      </w:r>
      <w:r w:rsidRPr="005662D8">
        <w:rPr>
          <w:sz w:val="20"/>
          <w:szCs w:val="20"/>
        </w:rPr>
        <w:t xml:space="preserve"> 2009. </w:t>
      </w:r>
      <w:r w:rsidRPr="005662D8">
        <w:rPr>
          <w:rStyle w:val="Enfasicorsivo"/>
          <w:sz w:val="20"/>
          <w:szCs w:val="20"/>
          <w:lang w:val="en-US"/>
        </w:rPr>
        <w:t>Russian Orthodox Church.</w:t>
      </w:r>
      <w:r w:rsidRPr="005662D8">
        <w:rPr>
          <w:sz w:val="20"/>
          <w:szCs w:val="20"/>
          <w:lang w:val="en-US"/>
        </w:rPr>
        <w:t xml:space="preserve"> </w:t>
      </w:r>
      <w:hyperlink r:id="rId80" w:tgtFrame="_new" w:history="1">
        <w:r w:rsidRPr="005662D8">
          <w:rPr>
            <w:rStyle w:val="Collegamentoipertestuale"/>
            <w:sz w:val="20"/>
            <w:szCs w:val="20"/>
            <w:lang w:val="en-US"/>
          </w:rPr>
          <w:t>http://www.patriarchia.ru/db/print/928446.html</w:t>
        </w:r>
      </w:hyperlink>
      <w:r w:rsidRPr="005662D8">
        <w:rPr>
          <w:sz w:val="20"/>
          <w:szCs w:val="20"/>
          <w:lang w:val="en-US"/>
        </w:rPr>
        <w:t>.</w:t>
      </w:r>
    </w:p>
    <w:p w14:paraId="4F3FAC26"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Abrahamyan, Eduard. 2016. “Russia and Armenia Establish Joint Ground Forces.” </w:t>
      </w:r>
      <w:r w:rsidRPr="005662D8">
        <w:rPr>
          <w:rStyle w:val="Enfasicorsivo"/>
          <w:sz w:val="20"/>
          <w:szCs w:val="20"/>
          <w:lang w:val="en-US"/>
        </w:rPr>
        <w:t>CACI Analyst.</w:t>
      </w:r>
      <w:r w:rsidRPr="005662D8">
        <w:rPr>
          <w:sz w:val="20"/>
          <w:szCs w:val="20"/>
          <w:lang w:val="en-US"/>
        </w:rPr>
        <w:t xml:space="preserve"> Available at: </w:t>
      </w:r>
      <w:hyperlink r:id="rId81" w:tgtFrame="_new" w:history="1">
        <w:r w:rsidRPr="005662D8">
          <w:rPr>
            <w:rStyle w:val="Collegamentoipertestuale"/>
            <w:sz w:val="20"/>
            <w:szCs w:val="20"/>
            <w:lang w:val="en-US"/>
          </w:rPr>
          <w:t>https://www.cacianalyst.org/publications/analytical-articles/item/13416-russia-and-armenia-establish-joint-ground-forces.html</w:t>
        </w:r>
      </w:hyperlink>
      <w:r w:rsidRPr="005662D8">
        <w:rPr>
          <w:sz w:val="20"/>
          <w:szCs w:val="20"/>
          <w:lang w:val="en-US"/>
        </w:rPr>
        <w:t xml:space="preserve"> (accessed on November 19, 2025).</w:t>
      </w:r>
    </w:p>
    <w:p w14:paraId="58BC0625"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Abushov, Kavus. 2009. “Policing the Near Abroad: Russian Foreign Policy in the South Caucasus.” </w:t>
      </w:r>
      <w:r w:rsidRPr="005662D8">
        <w:rPr>
          <w:rStyle w:val="Enfasicorsivo"/>
          <w:sz w:val="20"/>
          <w:szCs w:val="20"/>
          <w:lang w:val="en-US"/>
        </w:rPr>
        <w:t>Australian Journal of International Affairs</w:t>
      </w:r>
      <w:r w:rsidRPr="005662D8">
        <w:rPr>
          <w:sz w:val="20"/>
          <w:szCs w:val="20"/>
          <w:lang w:val="en-US"/>
        </w:rPr>
        <w:t xml:space="preserve"> 63 (2): 187–212. </w:t>
      </w:r>
      <w:hyperlink r:id="rId82" w:history="1">
        <w:r w:rsidRPr="005662D8">
          <w:rPr>
            <w:rStyle w:val="Collegamentoipertestuale"/>
            <w:sz w:val="20"/>
            <w:szCs w:val="20"/>
            <w:lang w:val="en-US"/>
          </w:rPr>
          <w:t>https://doi.org/10.1080/10357710902895129</w:t>
        </w:r>
      </w:hyperlink>
      <w:r w:rsidRPr="005662D8">
        <w:rPr>
          <w:sz w:val="20"/>
          <w:szCs w:val="20"/>
          <w:lang w:val="en-US"/>
        </w:rPr>
        <w:t>.</w:t>
      </w:r>
    </w:p>
    <w:p w14:paraId="4044B03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Abushov, Kavus. 2019a.</w:t>
      </w:r>
      <w:r w:rsidRPr="005662D8">
        <w:rPr>
          <w:sz w:val="20"/>
          <w:szCs w:val="20"/>
          <w:lang w:val="en-US"/>
        </w:rPr>
        <w:t xml:space="preserve"> “Russian Foreign Policy towards the Nagorno-Karabakh Conflict: Prudent Geopolitics, Incapacity or Identity?” </w:t>
      </w:r>
      <w:r w:rsidRPr="005662D8">
        <w:rPr>
          <w:rStyle w:val="Enfasicorsivo"/>
          <w:sz w:val="20"/>
          <w:szCs w:val="20"/>
          <w:lang w:val="en-US"/>
        </w:rPr>
        <w:t>East European Politics</w:t>
      </w:r>
      <w:r w:rsidRPr="005662D8">
        <w:rPr>
          <w:sz w:val="20"/>
          <w:szCs w:val="20"/>
          <w:lang w:val="en-US"/>
        </w:rPr>
        <w:t xml:space="preserve"> 35 (1): 72–92. </w:t>
      </w:r>
      <w:hyperlink r:id="rId83" w:history="1">
        <w:r w:rsidRPr="005662D8">
          <w:rPr>
            <w:rStyle w:val="Collegamentoipertestuale"/>
            <w:sz w:val="20"/>
            <w:szCs w:val="20"/>
            <w:lang w:val="en-US"/>
          </w:rPr>
          <w:t>https://doi:10.1080/21599165.2019.1579711</w:t>
        </w:r>
      </w:hyperlink>
      <w:r w:rsidRPr="005662D8">
        <w:rPr>
          <w:sz w:val="20"/>
          <w:szCs w:val="20"/>
          <w:lang w:val="en-US"/>
        </w:rPr>
        <w:t>.</w:t>
      </w:r>
    </w:p>
    <w:p w14:paraId="262890E9"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Adomeit, Hannes. 1995. “Russia as a ‘Great Power’ in World Affairs: Images and Reality.” </w:t>
      </w:r>
      <w:r w:rsidRPr="005662D8">
        <w:rPr>
          <w:rStyle w:val="Enfasicorsivo"/>
          <w:sz w:val="20"/>
          <w:szCs w:val="20"/>
          <w:lang w:val="en-US"/>
        </w:rPr>
        <w:t>International Affairs</w:t>
      </w:r>
      <w:r w:rsidRPr="005662D8">
        <w:rPr>
          <w:sz w:val="20"/>
          <w:szCs w:val="20"/>
          <w:lang w:val="en-US"/>
        </w:rPr>
        <w:t xml:space="preserve"> 71 (1): 35–68. </w:t>
      </w:r>
      <w:hyperlink r:id="rId84" w:history="1">
        <w:r w:rsidRPr="005662D8">
          <w:rPr>
            <w:rStyle w:val="Collegamentoipertestuale"/>
            <w:sz w:val="20"/>
            <w:szCs w:val="20"/>
            <w:lang w:val="en-US"/>
          </w:rPr>
          <w:t>https://doi.org/10.2307/2624009</w:t>
        </w:r>
      </w:hyperlink>
      <w:r w:rsidRPr="005662D8">
        <w:rPr>
          <w:sz w:val="20"/>
          <w:szCs w:val="20"/>
          <w:lang w:val="en-US"/>
        </w:rPr>
        <w:t>.</w:t>
      </w:r>
    </w:p>
    <w:p w14:paraId="7D4C0233"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Ahmed, Sara. 2004. </w:t>
      </w:r>
      <w:r w:rsidRPr="005662D8">
        <w:rPr>
          <w:rStyle w:val="Enfasicorsivo"/>
          <w:sz w:val="20"/>
          <w:szCs w:val="20"/>
          <w:lang w:val="en-US"/>
        </w:rPr>
        <w:t>The Cultural Politics of Emotion.</w:t>
      </w:r>
      <w:r w:rsidRPr="005662D8">
        <w:rPr>
          <w:sz w:val="20"/>
          <w:szCs w:val="20"/>
          <w:lang w:val="en-US"/>
        </w:rPr>
        <w:t xml:space="preserve"> London: Routledge.</w:t>
      </w:r>
    </w:p>
    <w:p w14:paraId="67FD4A46"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Alejandro, Audrey, and Longxuan Zhao. 2023. “Multi-Method Qualitative Text and Discourse Analysis: A Methodological Framework.” </w:t>
      </w:r>
      <w:r w:rsidRPr="005662D8">
        <w:rPr>
          <w:rStyle w:val="Enfasicorsivo"/>
          <w:sz w:val="20"/>
          <w:szCs w:val="20"/>
          <w:lang w:val="en-US"/>
        </w:rPr>
        <w:t>Qualitative Inquiry</w:t>
      </w:r>
      <w:r w:rsidRPr="005662D8">
        <w:rPr>
          <w:sz w:val="20"/>
          <w:szCs w:val="20"/>
          <w:lang w:val="en-US"/>
        </w:rPr>
        <w:t xml:space="preserve"> 30 (6): 461–73. </w:t>
      </w:r>
      <w:hyperlink r:id="rId85" w:history="1">
        <w:r w:rsidRPr="005662D8">
          <w:rPr>
            <w:rStyle w:val="Collegamentoipertestuale"/>
            <w:sz w:val="20"/>
            <w:szCs w:val="20"/>
            <w:lang w:val="en-US"/>
          </w:rPr>
          <w:t>https://doi.org/10.1177/10778004231184421</w:t>
        </w:r>
      </w:hyperlink>
      <w:r w:rsidRPr="005662D8">
        <w:rPr>
          <w:sz w:val="20"/>
          <w:szCs w:val="20"/>
          <w:lang w:val="en-US"/>
        </w:rPr>
        <w:t>.</w:t>
      </w:r>
    </w:p>
    <w:p w14:paraId="7B17410F"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Allison, Roy. 2009. “The Russian Case for Military Intervention in Georgia: International Law, Norms and Political Calculation.” </w:t>
      </w:r>
      <w:r w:rsidRPr="005662D8">
        <w:rPr>
          <w:rStyle w:val="Enfasicorsivo"/>
          <w:sz w:val="20"/>
          <w:szCs w:val="20"/>
          <w:lang w:val="en-US"/>
        </w:rPr>
        <w:t>European Security</w:t>
      </w:r>
      <w:r w:rsidRPr="005662D8">
        <w:rPr>
          <w:sz w:val="20"/>
          <w:szCs w:val="20"/>
          <w:lang w:val="en-US"/>
        </w:rPr>
        <w:t xml:space="preserve"> 18 (2): 173–200. </w:t>
      </w:r>
      <w:hyperlink r:id="rId86" w:history="1">
        <w:r w:rsidRPr="005662D8">
          <w:rPr>
            <w:rStyle w:val="Collegamentoipertestuale"/>
            <w:sz w:val="20"/>
            <w:szCs w:val="20"/>
            <w:lang w:val="en-US"/>
          </w:rPr>
          <w:t>https://doi.org/10.1080/09662830903468734</w:t>
        </w:r>
      </w:hyperlink>
      <w:r w:rsidRPr="005662D8">
        <w:rPr>
          <w:sz w:val="20"/>
          <w:szCs w:val="20"/>
          <w:lang w:val="en-US"/>
        </w:rPr>
        <w:t>.</w:t>
      </w:r>
    </w:p>
    <w:p w14:paraId="4627D04A"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Alyukov, Maxim. 2021. “News Reception and Authoritarian Control in a Hybrid Media System: Russian TV Viewers and the Russia–Ukraine Conflict.” </w:t>
      </w:r>
      <w:r w:rsidRPr="005662D8">
        <w:rPr>
          <w:rStyle w:val="Enfasicorsivo"/>
          <w:sz w:val="20"/>
          <w:szCs w:val="20"/>
          <w:lang w:val="en-US"/>
        </w:rPr>
        <w:t>Politics</w:t>
      </w:r>
      <w:r w:rsidRPr="005662D8">
        <w:rPr>
          <w:sz w:val="20"/>
          <w:szCs w:val="20"/>
          <w:lang w:val="en-US"/>
        </w:rPr>
        <w:t xml:space="preserve"> 44 (3): 400–19. </w:t>
      </w:r>
      <w:hyperlink r:id="rId87" w:history="1">
        <w:r w:rsidRPr="005662D8">
          <w:rPr>
            <w:rStyle w:val="Collegamentoipertestuale"/>
            <w:sz w:val="20"/>
            <w:szCs w:val="20"/>
            <w:lang w:val="en-US"/>
          </w:rPr>
          <w:t>https://doi.org/10.1177/02633957211041440</w:t>
        </w:r>
      </w:hyperlink>
      <w:r w:rsidRPr="005662D8">
        <w:rPr>
          <w:sz w:val="20"/>
          <w:szCs w:val="20"/>
          <w:lang w:val="en-US"/>
        </w:rPr>
        <w:t>.</w:t>
      </w:r>
    </w:p>
    <w:p w14:paraId="006E79D5"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Anthony, Susan, and Susan Jack. 2009. “Qualitative Case Study Methodology in Nursing Research: An Integrative Review.” </w:t>
      </w:r>
      <w:r w:rsidRPr="005662D8">
        <w:rPr>
          <w:rStyle w:val="Enfasicorsivo"/>
          <w:sz w:val="20"/>
          <w:szCs w:val="20"/>
          <w:lang w:val="en-US"/>
        </w:rPr>
        <w:t>Journal of Advanced Nursing</w:t>
      </w:r>
      <w:r w:rsidRPr="005662D8">
        <w:rPr>
          <w:sz w:val="20"/>
          <w:szCs w:val="20"/>
          <w:lang w:val="en-US"/>
        </w:rPr>
        <w:t xml:space="preserve"> 65 (6): 1171–81. </w:t>
      </w:r>
      <w:hyperlink r:id="rId88" w:history="1">
        <w:r w:rsidRPr="005662D8">
          <w:rPr>
            <w:rStyle w:val="Collegamentoipertestuale"/>
            <w:sz w:val="20"/>
            <w:szCs w:val="20"/>
            <w:lang w:val="en-US"/>
          </w:rPr>
          <w:t>https://doi.org/10.1111/j.1365-2648.2009.04998.x</w:t>
        </w:r>
      </w:hyperlink>
      <w:r w:rsidRPr="005662D8">
        <w:rPr>
          <w:sz w:val="20"/>
          <w:szCs w:val="20"/>
          <w:lang w:val="en-US"/>
        </w:rPr>
        <w:t>.</w:t>
      </w:r>
    </w:p>
    <w:p w14:paraId="294496C7"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Aras, Bulent. 2017. </w:t>
      </w:r>
      <w:r w:rsidRPr="005662D8">
        <w:rPr>
          <w:rStyle w:val="Enfasicorsivo"/>
          <w:sz w:val="20"/>
          <w:szCs w:val="20"/>
          <w:lang w:val="en-US"/>
        </w:rPr>
        <w:t>Turkish Foreign Policy After July 15.</w:t>
      </w:r>
      <w:r w:rsidRPr="005662D8">
        <w:rPr>
          <w:sz w:val="20"/>
          <w:szCs w:val="20"/>
          <w:lang w:val="en-US"/>
        </w:rPr>
        <w:t xml:space="preserve"> Istanbul Policy Center. February 2017. Available at: </w:t>
      </w:r>
      <w:hyperlink r:id="rId89" w:tgtFrame="_new" w:history="1">
        <w:r w:rsidRPr="005662D8">
          <w:rPr>
            <w:rStyle w:val="Collegamentoipertestuale"/>
            <w:sz w:val="20"/>
            <w:szCs w:val="20"/>
            <w:lang w:val="en-US"/>
          </w:rPr>
          <w:t>https://ipc.sabanciuniv.edu/Content/Images/Document/turkish-foreign-policy-after-july-15-7fc40f/turkish-foreign-policy-after-july-15-7fc40f.pdf</w:t>
        </w:r>
      </w:hyperlink>
      <w:r w:rsidRPr="005662D8">
        <w:rPr>
          <w:sz w:val="20"/>
          <w:szCs w:val="20"/>
          <w:lang w:val="en-US"/>
        </w:rPr>
        <w:t xml:space="preserve"> (accessed on November 19, 2025).</w:t>
      </w:r>
    </w:p>
    <w:p w14:paraId="47592530"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Aron, Raymond. 1966. </w:t>
      </w:r>
      <w:r w:rsidRPr="005662D8">
        <w:rPr>
          <w:rStyle w:val="Enfasicorsivo"/>
          <w:sz w:val="20"/>
          <w:szCs w:val="20"/>
          <w:lang w:val="en-US"/>
        </w:rPr>
        <w:t>Peace and War: A Theory of International Relations.</w:t>
      </w:r>
      <w:r w:rsidRPr="005662D8">
        <w:rPr>
          <w:sz w:val="20"/>
          <w:szCs w:val="20"/>
          <w:lang w:val="en-US"/>
        </w:rPr>
        <w:t xml:space="preserve"> New York, United States: Doubleday.</w:t>
      </w:r>
    </w:p>
    <w:p w14:paraId="41F48010"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Assmann, Jan. 1995. “Collective Memory and Cultural Identity.” </w:t>
      </w:r>
      <w:r w:rsidRPr="005662D8">
        <w:rPr>
          <w:rStyle w:val="Enfasicorsivo"/>
          <w:sz w:val="20"/>
          <w:szCs w:val="20"/>
          <w:lang w:val="en-US"/>
        </w:rPr>
        <w:t>New German Critique</w:t>
      </w:r>
      <w:r w:rsidRPr="005662D8">
        <w:rPr>
          <w:sz w:val="20"/>
          <w:szCs w:val="20"/>
          <w:lang w:val="en-US"/>
        </w:rPr>
        <w:t xml:space="preserve"> 65: 125–33. </w:t>
      </w:r>
      <w:hyperlink r:id="rId90" w:history="1">
        <w:r w:rsidRPr="005662D8">
          <w:rPr>
            <w:rStyle w:val="Collegamentoipertestuale"/>
            <w:sz w:val="20"/>
            <w:szCs w:val="20"/>
            <w:lang w:val="en-US"/>
          </w:rPr>
          <w:t>https://doi.org/10.2307/488538</w:t>
        </w:r>
      </w:hyperlink>
      <w:r w:rsidRPr="005662D8">
        <w:rPr>
          <w:sz w:val="20"/>
          <w:szCs w:val="20"/>
          <w:lang w:val="en-US"/>
        </w:rPr>
        <w:t>.</w:t>
      </w:r>
    </w:p>
    <w:p w14:paraId="5BE1AAE5"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Atanesyan, Arthur V., Bradley M. Reynolds, and Artur E. Mkrtichyan. 2023. “Balancing between Russia and the West: The Hard Security Choice of Armenia.” </w:t>
      </w:r>
      <w:r w:rsidRPr="005662D8">
        <w:rPr>
          <w:rStyle w:val="Enfasicorsivo"/>
          <w:sz w:val="20"/>
          <w:szCs w:val="20"/>
          <w:lang w:val="en-US"/>
        </w:rPr>
        <w:t>European Security</w:t>
      </w:r>
      <w:r w:rsidRPr="005662D8">
        <w:rPr>
          <w:sz w:val="20"/>
          <w:szCs w:val="20"/>
          <w:lang w:val="en-US"/>
        </w:rPr>
        <w:t xml:space="preserve"> 33 (2): 261–83. </w:t>
      </w:r>
      <w:hyperlink r:id="rId91" w:history="1">
        <w:r w:rsidRPr="005662D8">
          <w:rPr>
            <w:rStyle w:val="Collegamentoipertestuale"/>
            <w:sz w:val="20"/>
            <w:szCs w:val="20"/>
            <w:lang w:val="en-US"/>
          </w:rPr>
          <w:t>https://doi.org/10.1080/09662839.2023.2258528</w:t>
        </w:r>
      </w:hyperlink>
      <w:r w:rsidRPr="005662D8">
        <w:rPr>
          <w:sz w:val="20"/>
          <w:szCs w:val="20"/>
          <w:lang w:val="en-US"/>
        </w:rPr>
        <w:t>.</w:t>
      </w:r>
    </w:p>
    <w:p w14:paraId="7B65FF29"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Atkin, Muriel. 1980. </w:t>
      </w:r>
      <w:r w:rsidRPr="005662D8">
        <w:rPr>
          <w:rStyle w:val="Enfasicorsivo"/>
          <w:sz w:val="20"/>
          <w:szCs w:val="20"/>
          <w:lang w:val="en-US"/>
        </w:rPr>
        <w:t>Russia and Iran, 1780–1828.</w:t>
      </w:r>
      <w:r w:rsidRPr="005662D8">
        <w:rPr>
          <w:sz w:val="20"/>
          <w:szCs w:val="20"/>
          <w:lang w:val="en-US"/>
        </w:rPr>
        <w:t xml:space="preserve"> Minneapolis, United States: University of Minnesota Press.</w:t>
      </w:r>
    </w:p>
    <w:p w14:paraId="12FABE49" w14:textId="77777777" w:rsidR="00E9035E" w:rsidRPr="005662D8" w:rsidRDefault="00E9035E" w:rsidP="005662D8">
      <w:pPr>
        <w:pStyle w:val="NormaleWeb"/>
        <w:spacing w:line="240" w:lineRule="auto"/>
        <w:rPr>
          <w:sz w:val="20"/>
          <w:szCs w:val="20"/>
        </w:rPr>
      </w:pPr>
      <w:r w:rsidRPr="005662D8">
        <w:rPr>
          <w:sz w:val="20"/>
          <w:szCs w:val="20"/>
          <w:lang w:val="en-US"/>
        </w:rPr>
        <w:t xml:space="preserve">Avetisyan, Ani. 2025. “RT Head Margarita Simonyan and Senior Russian Official ‘Banned from Armenia.’” </w:t>
      </w:r>
      <w:r w:rsidRPr="00391B8E">
        <w:rPr>
          <w:rStyle w:val="Enfasicorsivo"/>
          <w:sz w:val="20"/>
          <w:szCs w:val="20"/>
          <w:lang w:val="en-US"/>
        </w:rPr>
        <w:t>OC Media</w:t>
      </w:r>
      <w:r w:rsidRPr="00391B8E">
        <w:rPr>
          <w:sz w:val="20"/>
          <w:szCs w:val="20"/>
          <w:lang w:val="en-US"/>
        </w:rPr>
        <w:t xml:space="preserve">, April 16. </w:t>
      </w:r>
      <w:hyperlink r:id="rId92" w:tgtFrame="_new" w:history="1">
        <w:r w:rsidRPr="005662D8">
          <w:rPr>
            <w:rStyle w:val="Collegamentoipertestuale"/>
            <w:sz w:val="20"/>
            <w:szCs w:val="20"/>
          </w:rPr>
          <w:t>https://oc-media.org/rt-head-margarita-simonyan-and-senior-russian-official-banned-from-armenia/</w:t>
        </w:r>
      </w:hyperlink>
    </w:p>
    <w:p w14:paraId="3862A9B2"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Bachleitner, Kathrin. 2021. </w:t>
      </w:r>
      <w:r w:rsidRPr="005662D8">
        <w:rPr>
          <w:rStyle w:val="Enfasicorsivo"/>
          <w:sz w:val="20"/>
          <w:szCs w:val="20"/>
          <w:lang w:val="en-US"/>
        </w:rPr>
        <w:t>Collective Memory in International Relations.</w:t>
      </w:r>
      <w:r w:rsidRPr="005662D8">
        <w:rPr>
          <w:sz w:val="20"/>
          <w:szCs w:val="20"/>
          <w:lang w:val="en-US"/>
        </w:rPr>
        <w:t xml:space="preserve"> Oxford, United Kingdom: Oxford University Press.</w:t>
      </w:r>
    </w:p>
    <w:p w14:paraId="3C14EDD4"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Baev, Pavel. 1997. </w:t>
      </w:r>
      <w:r w:rsidRPr="005662D8">
        <w:rPr>
          <w:rStyle w:val="Enfasicorsivo"/>
          <w:sz w:val="20"/>
          <w:szCs w:val="20"/>
          <w:lang w:val="en-US"/>
        </w:rPr>
        <w:t>Russia’s Policies in the Caucasus.</w:t>
      </w:r>
      <w:r w:rsidRPr="005662D8">
        <w:rPr>
          <w:sz w:val="20"/>
          <w:szCs w:val="20"/>
          <w:lang w:val="en-US"/>
        </w:rPr>
        <w:t xml:space="preserve"> London, United Kingdom: Royal Institute of International Affairs.</w:t>
      </w:r>
    </w:p>
    <w:p w14:paraId="09F4A188"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Baker, Paul, Costas Gabrielatos, and Tony McEnery. 2019. </w:t>
      </w:r>
      <w:r w:rsidRPr="005662D8">
        <w:rPr>
          <w:rStyle w:val="Enfasicorsivo"/>
          <w:sz w:val="20"/>
          <w:szCs w:val="20"/>
          <w:lang w:val="en-US"/>
        </w:rPr>
        <w:t>Discourse Analysis and Media Attitudes: The Representation of Islam in the British Press.</w:t>
      </w:r>
      <w:r w:rsidRPr="005662D8">
        <w:rPr>
          <w:sz w:val="20"/>
          <w:szCs w:val="20"/>
          <w:lang w:val="en-US"/>
        </w:rPr>
        <w:t xml:space="preserve"> Cambridge, United Kingdom: Cambridge University Press.</w:t>
      </w:r>
    </w:p>
    <w:p w14:paraId="08E584C6"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Barkan, Elazar. 2001. </w:t>
      </w:r>
      <w:r w:rsidRPr="005662D8">
        <w:rPr>
          <w:rStyle w:val="Enfasicorsivo"/>
          <w:sz w:val="20"/>
          <w:szCs w:val="20"/>
          <w:lang w:val="en-US"/>
        </w:rPr>
        <w:t>Guilt of Nations: Restitution and Negotiating Historical Injustices.</w:t>
      </w:r>
      <w:r w:rsidRPr="005662D8">
        <w:rPr>
          <w:sz w:val="20"/>
          <w:szCs w:val="20"/>
          <w:lang w:val="en-US"/>
        </w:rPr>
        <w:t xml:space="preserve"> New York, United States: W. W. Norton.</w:t>
      </w:r>
    </w:p>
    <w:p w14:paraId="68235367"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Barnes, Collin D., Ryan P. Brown, and Lindsey L. Osterman. 2012. “Don’t Tread on Me.” </w:t>
      </w:r>
      <w:r w:rsidRPr="005662D8">
        <w:rPr>
          <w:rStyle w:val="Enfasicorsivo"/>
          <w:sz w:val="20"/>
          <w:szCs w:val="20"/>
          <w:lang w:val="en-US"/>
        </w:rPr>
        <w:t>Personality and Social Psychology Bulletin</w:t>
      </w:r>
      <w:r w:rsidRPr="005662D8">
        <w:rPr>
          <w:sz w:val="20"/>
          <w:szCs w:val="20"/>
          <w:lang w:val="en-US"/>
        </w:rPr>
        <w:t xml:space="preserve"> 38 (8): 1018–29. </w:t>
      </w:r>
      <w:hyperlink r:id="rId93" w:history="1">
        <w:r w:rsidRPr="005662D8">
          <w:rPr>
            <w:rStyle w:val="Collegamentoipertestuale"/>
            <w:sz w:val="20"/>
            <w:szCs w:val="20"/>
            <w:lang w:val="en-US"/>
          </w:rPr>
          <w:t>https://doi.org/10.1177/0146167212443383</w:t>
        </w:r>
      </w:hyperlink>
    </w:p>
    <w:p w14:paraId="2E438E7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Barsegov, Yuri. 2008.</w:t>
      </w:r>
      <w:r w:rsidRPr="005662D8">
        <w:rPr>
          <w:sz w:val="20"/>
          <w:szCs w:val="20"/>
          <w:lang w:val="en-US"/>
        </w:rPr>
        <w:t xml:space="preserve"> </w:t>
      </w:r>
      <w:r w:rsidRPr="005662D8">
        <w:rPr>
          <w:rStyle w:val="Enfasicorsivo"/>
          <w:sz w:val="20"/>
          <w:szCs w:val="20"/>
          <w:lang w:val="en-US"/>
        </w:rPr>
        <w:t>Nagornyi Karabagh in International Law and World Politics: Documents and Commentary.</w:t>
      </w:r>
      <w:r w:rsidRPr="005662D8">
        <w:rPr>
          <w:sz w:val="20"/>
          <w:szCs w:val="20"/>
          <w:lang w:val="en-US"/>
        </w:rPr>
        <w:t xml:space="preserve"> Moscow, Russian Federation: Krug.</w:t>
      </w:r>
    </w:p>
    <w:p w14:paraId="70BCD187"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Batalov, Eduard. 2009. </w:t>
      </w:r>
      <w:r w:rsidRPr="005662D8">
        <w:rPr>
          <w:rStyle w:val="Enfasicorsivo"/>
          <w:sz w:val="20"/>
          <w:szCs w:val="20"/>
          <w:lang w:val="en-US"/>
        </w:rPr>
        <w:t>Russkaya Ideya i Amerikanskaya Mechta.</w:t>
      </w:r>
      <w:r w:rsidRPr="005662D8">
        <w:rPr>
          <w:sz w:val="20"/>
          <w:szCs w:val="20"/>
          <w:lang w:val="en-US"/>
        </w:rPr>
        <w:t xml:space="preserve"> Moscow, Russian Federation: Progress-Traditsiya.</w:t>
      </w:r>
    </w:p>
    <w:p w14:paraId="16BF1CA2"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Belavusau, Uladzislau. 2022a. “Law and the Politics of Memory.” In </w:t>
      </w:r>
      <w:r w:rsidRPr="005662D8">
        <w:rPr>
          <w:rStyle w:val="Enfasicorsivo"/>
          <w:sz w:val="20"/>
          <w:szCs w:val="20"/>
          <w:lang w:val="en-US"/>
        </w:rPr>
        <w:t>Handbook on the Politics of Memory</w:t>
      </w:r>
      <w:r w:rsidRPr="005662D8">
        <w:rPr>
          <w:sz w:val="20"/>
          <w:szCs w:val="20"/>
          <w:lang w:val="en-US"/>
        </w:rPr>
        <w:t>, 1–14. Cheltenham, United Kingdom: Edward Elgar.</w:t>
      </w:r>
    </w:p>
    <w:p w14:paraId="3CBA3E9B"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Bennett, Andrew, and Jeffrey T. Checkel. 2015. </w:t>
      </w:r>
      <w:r w:rsidRPr="005662D8">
        <w:rPr>
          <w:rStyle w:val="Enfasicorsivo"/>
          <w:sz w:val="20"/>
          <w:szCs w:val="20"/>
          <w:lang w:val="en-US"/>
        </w:rPr>
        <w:t>Process Tracing: From Metaphor to Analytic Tool.</w:t>
      </w:r>
      <w:r w:rsidRPr="005662D8">
        <w:rPr>
          <w:sz w:val="20"/>
          <w:szCs w:val="20"/>
          <w:lang w:val="en-US"/>
        </w:rPr>
        <w:t xml:space="preserve"> Cambridge, United Kingdom: Cambridge University Press.</w:t>
      </w:r>
    </w:p>
    <w:p w14:paraId="50008C4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Bennett, Tom.</w:t>
      </w:r>
      <w:r w:rsidRPr="005662D8">
        <w:rPr>
          <w:sz w:val="20"/>
          <w:szCs w:val="20"/>
          <w:lang w:val="en-US"/>
        </w:rPr>
        <w:t xml:space="preserve"> 2023. “‘They Abandoned Us’: Displaced Residents of Nagorno-Karabakh Lament Russian Inaction.” </w:t>
      </w:r>
      <w:r w:rsidRPr="005662D8">
        <w:rPr>
          <w:rStyle w:val="Enfasicorsivo"/>
          <w:sz w:val="20"/>
          <w:szCs w:val="20"/>
          <w:lang w:val="en-US"/>
        </w:rPr>
        <w:t>The Moscow Times</w:t>
      </w:r>
      <w:r w:rsidRPr="005662D8">
        <w:rPr>
          <w:sz w:val="20"/>
          <w:szCs w:val="20"/>
          <w:lang w:val="en-US"/>
        </w:rPr>
        <w:t xml:space="preserve">, October 2. Available at: </w:t>
      </w:r>
      <w:hyperlink r:id="rId94" w:tgtFrame="_new" w:history="1">
        <w:r w:rsidRPr="005662D8">
          <w:rPr>
            <w:rStyle w:val="Collegamentoipertestuale"/>
            <w:sz w:val="20"/>
            <w:szCs w:val="20"/>
            <w:lang w:val="en-US"/>
          </w:rPr>
          <w:t>https://www.themoscowtimes.com/2023/10/02/they-abandoned-us-displaced-residents-of-nagorno-karabakh-lament-russian-inaction-a82632</w:t>
        </w:r>
      </w:hyperlink>
      <w:r w:rsidRPr="005662D8">
        <w:rPr>
          <w:sz w:val="20"/>
          <w:szCs w:val="20"/>
          <w:lang w:val="en-US"/>
        </w:rPr>
        <w:t xml:space="preserve"> (accessed on November 19, 2025).</w:t>
      </w:r>
    </w:p>
    <w:p w14:paraId="4012AD6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Berenskoetter, Felix.</w:t>
      </w:r>
      <w:r w:rsidRPr="005662D8">
        <w:rPr>
          <w:sz w:val="20"/>
          <w:szCs w:val="20"/>
          <w:lang w:val="en-US"/>
        </w:rPr>
        <w:t xml:space="preserve"> 2012. “Parameters of a National Biography.” </w:t>
      </w:r>
      <w:r w:rsidRPr="005662D8">
        <w:rPr>
          <w:rStyle w:val="Enfasicorsivo"/>
          <w:sz w:val="20"/>
          <w:szCs w:val="20"/>
          <w:lang w:val="en-US"/>
        </w:rPr>
        <w:t>European Journal of International Relations</w:t>
      </w:r>
      <w:r w:rsidRPr="005662D8">
        <w:rPr>
          <w:sz w:val="20"/>
          <w:szCs w:val="20"/>
          <w:lang w:val="en-US"/>
        </w:rPr>
        <w:t xml:space="preserve"> 20 (1): 262–88. </w:t>
      </w:r>
      <w:hyperlink r:id="rId95" w:history="1">
        <w:r w:rsidRPr="005662D8">
          <w:rPr>
            <w:rStyle w:val="Collegamentoipertestuale"/>
            <w:sz w:val="20"/>
            <w:szCs w:val="20"/>
            <w:lang w:val="en-US"/>
          </w:rPr>
          <w:t>https://doi.org/10.1177/1354066112445290</w:t>
        </w:r>
      </w:hyperlink>
      <w:r w:rsidRPr="005662D8">
        <w:rPr>
          <w:sz w:val="20"/>
          <w:szCs w:val="20"/>
          <w:lang w:val="en-US"/>
        </w:rPr>
        <w:t>.</w:t>
      </w:r>
    </w:p>
    <w:p w14:paraId="27931CF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Berger, Thomas U.</w:t>
      </w:r>
      <w:r w:rsidRPr="005662D8">
        <w:rPr>
          <w:sz w:val="20"/>
          <w:szCs w:val="20"/>
          <w:lang w:val="en-US"/>
        </w:rPr>
        <w:t xml:space="preserve"> 2012. </w:t>
      </w:r>
      <w:r w:rsidRPr="005662D8">
        <w:rPr>
          <w:rStyle w:val="Enfasicorsivo"/>
          <w:sz w:val="20"/>
          <w:szCs w:val="20"/>
          <w:lang w:val="en-US"/>
        </w:rPr>
        <w:t>War, Guilt, and World Politics after World War II.</w:t>
      </w:r>
      <w:r w:rsidRPr="005662D8">
        <w:rPr>
          <w:sz w:val="20"/>
          <w:szCs w:val="20"/>
          <w:lang w:val="en-US"/>
        </w:rPr>
        <w:t xml:space="preserve"> Cambridge, United States: Cambridge University Press.</w:t>
      </w:r>
    </w:p>
    <w:p w14:paraId="51C9F8D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Bernstein, Jake, Petra Blum, Oliver Zihlmann, David Thompson, and Frederik Obermaier.</w:t>
      </w:r>
      <w:r w:rsidRPr="005662D8">
        <w:rPr>
          <w:sz w:val="20"/>
          <w:szCs w:val="20"/>
          <w:lang w:val="en-US"/>
        </w:rPr>
        <w:t xml:space="preserve"> 2023. “All Putin’s Men: Secret Records Reveal Money Network Tied to Russian Leader.” </w:t>
      </w:r>
      <w:r w:rsidRPr="005662D8">
        <w:rPr>
          <w:rStyle w:val="Enfasicorsivo"/>
          <w:sz w:val="20"/>
          <w:szCs w:val="20"/>
          <w:lang w:val="en-US"/>
        </w:rPr>
        <w:t>International Consortium of Investigative Journalists</w:t>
      </w:r>
      <w:r w:rsidRPr="005662D8">
        <w:rPr>
          <w:sz w:val="20"/>
          <w:szCs w:val="20"/>
          <w:lang w:val="en-US"/>
        </w:rPr>
        <w:t xml:space="preserve">, April 27. Available at: </w:t>
      </w:r>
      <w:hyperlink r:id="rId96" w:tgtFrame="_new" w:history="1">
        <w:r w:rsidRPr="005662D8">
          <w:rPr>
            <w:rStyle w:val="Collegamentoipertestuale"/>
            <w:sz w:val="20"/>
            <w:szCs w:val="20"/>
            <w:lang w:val="en-US"/>
          </w:rPr>
          <w:t>https://www.icij.org/investigations/panama-papers/20160403-putin-russia-offshore-network/</w:t>
        </w:r>
      </w:hyperlink>
      <w:r w:rsidRPr="005662D8">
        <w:rPr>
          <w:sz w:val="20"/>
          <w:szCs w:val="20"/>
          <w:lang w:val="en-US"/>
        </w:rPr>
        <w:t xml:space="preserve"> (accessed on November 19, 2025).</w:t>
      </w:r>
    </w:p>
    <w:p w14:paraId="4C5BCE7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Blaikie, Norman.</w:t>
      </w:r>
      <w:r w:rsidRPr="005662D8">
        <w:rPr>
          <w:sz w:val="20"/>
          <w:szCs w:val="20"/>
          <w:lang w:val="en-US"/>
        </w:rPr>
        <w:t xml:space="preserve"> 2010. </w:t>
      </w:r>
      <w:r w:rsidRPr="005662D8">
        <w:rPr>
          <w:rStyle w:val="Enfasicorsivo"/>
          <w:sz w:val="20"/>
          <w:szCs w:val="20"/>
          <w:lang w:val="en-US"/>
        </w:rPr>
        <w:t>Designing Social Research: The Logic of Anticipation.</w:t>
      </w:r>
      <w:r w:rsidRPr="005662D8">
        <w:rPr>
          <w:sz w:val="20"/>
          <w:szCs w:val="20"/>
          <w:lang w:val="en-US"/>
        </w:rPr>
        <w:t xml:space="preserve"> Cambridge, United Kingdom: Polity Press.</w:t>
      </w:r>
    </w:p>
    <w:p w14:paraId="790C387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Blauvelt, Timothy K., and Christofer Berglund.</w:t>
      </w:r>
      <w:r w:rsidRPr="005662D8">
        <w:rPr>
          <w:sz w:val="20"/>
          <w:szCs w:val="20"/>
          <w:lang w:val="en-US"/>
        </w:rPr>
        <w:t xml:space="preserve"> 2016. “Armenians in the Making of Modern Georgia.” </w:t>
      </w:r>
      <w:r w:rsidRPr="005662D8">
        <w:rPr>
          <w:rStyle w:val="Enfasicorsivo"/>
          <w:sz w:val="20"/>
          <w:szCs w:val="20"/>
          <w:lang w:val="en-US"/>
        </w:rPr>
        <w:t>Armenians in Post-Socialist Europe</w:t>
      </w:r>
      <w:r w:rsidRPr="005662D8">
        <w:rPr>
          <w:sz w:val="20"/>
          <w:szCs w:val="20"/>
          <w:lang w:val="en-US"/>
        </w:rPr>
        <w:t xml:space="preserve">, July: 69–85. </w:t>
      </w:r>
      <w:hyperlink r:id="rId97" w:history="1">
        <w:r w:rsidRPr="005662D8">
          <w:rPr>
            <w:rStyle w:val="Collegamentoipertestuale"/>
            <w:sz w:val="20"/>
            <w:szCs w:val="20"/>
            <w:lang w:val="en-US"/>
          </w:rPr>
          <w:t>https://doi.org/10.7788/9783412502263-008</w:t>
        </w:r>
      </w:hyperlink>
      <w:r w:rsidRPr="005662D8">
        <w:rPr>
          <w:sz w:val="20"/>
          <w:szCs w:val="20"/>
          <w:lang w:val="en-US"/>
        </w:rPr>
        <w:t>.</w:t>
      </w:r>
    </w:p>
    <w:p w14:paraId="64E0196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Boblin, Sheryl L., Sandra Ireland, Helen Kirkpatrick, and Kim Robertson.</w:t>
      </w:r>
      <w:r w:rsidRPr="005662D8">
        <w:rPr>
          <w:sz w:val="20"/>
          <w:szCs w:val="20"/>
          <w:lang w:val="en-US"/>
        </w:rPr>
        <w:t xml:space="preserve"> 2013. “Using Stake’s Qualitative Case Study Approach to Explore Implementation of Evidence-Based Practice.” </w:t>
      </w:r>
      <w:r w:rsidRPr="005662D8">
        <w:rPr>
          <w:rStyle w:val="Enfasicorsivo"/>
          <w:sz w:val="20"/>
          <w:szCs w:val="20"/>
          <w:lang w:val="en-US"/>
        </w:rPr>
        <w:t>Qualitative Health Research</w:t>
      </w:r>
      <w:r w:rsidRPr="005662D8">
        <w:rPr>
          <w:sz w:val="20"/>
          <w:szCs w:val="20"/>
          <w:lang w:val="en-US"/>
        </w:rPr>
        <w:t xml:space="preserve"> 23 (9): 1267–75. </w:t>
      </w:r>
      <w:hyperlink r:id="rId98" w:history="1">
        <w:r w:rsidRPr="005662D8">
          <w:rPr>
            <w:rStyle w:val="Collegamentoipertestuale"/>
            <w:sz w:val="20"/>
            <w:szCs w:val="20"/>
            <w:lang w:val="en-US"/>
          </w:rPr>
          <w:t>https://doi.org/10.1177/1049732313502128</w:t>
        </w:r>
      </w:hyperlink>
      <w:r w:rsidRPr="005662D8">
        <w:rPr>
          <w:sz w:val="20"/>
          <w:szCs w:val="20"/>
          <w:lang w:val="en-US"/>
        </w:rPr>
        <w:t>.</w:t>
      </w:r>
    </w:p>
    <w:p w14:paraId="043A95C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Bodnar, John.</w:t>
      </w:r>
      <w:r w:rsidRPr="005662D8">
        <w:rPr>
          <w:sz w:val="20"/>
          <w:szCs w:val="20"/>
          <w:lang w:val="en-US"/>
        </w:rPr>
        <w:t xml:space="preserve"> 1992. </w:t>
      </w:r>
      <w:r w:rsidRPr="005662D8">
        <w:rPr>
          <w:rStyle w:val="Enfasicorsivo"/>
          <w:sz w:val="20"/>
          <w:szCs w:val="20"/>
          <w:lang w:val="en-US"/>
        </w:rPr>
        <w:t>Remaking America: Public Memory, Commemoration, and Patriotism in the Twentieth Century.</w:t>
      </w:r>
      <w:r w:rsidRPr="005662D8">
        <w:rPr>
          <w:sz w:val="20"/>
          <w:szCs w:val="20"/>
          <w:lang w:val="en-US"/>
        </w:rPr>
        <w:t xml:space="preserve"> Princeton, United States: Princeton University Press.</w:t>
      </w:r>
    </w:p>
    <w:p w14:paraId="568FB5B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Bolton, Derek.</w:t>
      </w:r>
      <w:r w:rsidRPr="005662D8">
        <w:rPr>
          <w:sz w:val="20"/>
          <w:szCs w:val="20"/>
          <w:lang w:val="en-US"/>
        </w:rPr>
        <w:t xml:space="preserve"> 2020. “Targeting Ontological Security: Information Warfare in the Modern Age.” </w:t>
      </w:r>
      <w:r w:rsidRPr="005662D8">
        <w:rPr>
          <w:rStyle w:val="Enfasicorsivo"/>
          <w:sz w:val="20"/>
          <w:szCs w:val="20"/>
          <w:lang w:val="en-US"/>
        </w:rPr>
        <w:t>Political Psychology</w:t>
      </w:r>
      <w:r w:rsidRPr="005662D8">
        <w:rPr>
          <w:sz w:val="20"/>
          <w:szCs w:val="20"/>
          <w:lang w:val="en-US"/>
        </w:rPr>
        <w:t xml:space="preserve"> 42 (1): 127–42. </w:t>
      </w:r>
      <w:hyperlink r:id="rId99" w:history="1">
        <w:r w:rsidRPr="005662D8">
          <w:rPr>
            <w:rStyle w:val="Collegamentoipertestuale"/>
            <w:sz w:val="20"/>
            <w:szCs w:val="20"/>
            <w:lang w:val="en-US"/>
          </w:rPr>
          <w:t>https://doi.org/10.1111/pops.12691</w:t>
        </w:r>
      </w:hyperlink>
      <w:r w:rsidRPr="005662D8">
        <w:rPr>
          <w:sz w:val="20"/>
          <w:szCs w:val="20"/>
          <w:lang w:val="en-US"/>
        </w:rPr>
        <w:t>.</w:t>
      </w:r>
    </w:p>
    <w:p w14:paraId="623B654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Bournoutian, George A.</w:t>
      </w:r>
      <w:r w:rsidRPr="005662D8">
        <w:rPr>
          <w:sz w:val="20"/>
          <w:szCs w:val="20"/>
          <w:lang w:val="en-US"/>
        </w:rPr>
        <w:t xml:space="preserve"> 2021. </w:t>
      </w:r>
      <w:r w:rsidRPr="005662D8">
        <w:rPr>
          <w:rStyle w:val="Enfasicorsivo"/>
          <w:sz w:val="20"/>
          <w:szCs w:val="20"/>
          <w:lang w:val="en-US"/>
        </w:rPr>
        <w:t>From the Kur to the Aras: A Military History of Russia’s Move into the South Caucasus and the First.</w:t>
      </w:r>
      <w:r w:rsidRPr="005662D8">
        <w:rPr>
          <w:sz w:val="20"/>
          <w:szCs w:val="20"/>
          <w:lang w:val="en-US"/>
        </w:rPr>
        <w:t xml:space="preserve"> Leiden, The Netherlands: Brill.</w:t>
      </w:r>
    </w:p>
    <w:p w14:paraId="1BA9444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Bournoutian, George.</w:t>
      </w:r>
      <w:r w:rsidRPr="005662D8">
        <w:rPr>
          <w:sz w:val="20"/>
          <w:szCs w:val="20"/>
          <w:lang w:val="en-US"/>
        </w:rPr>
        <w:t xml:space="preserve"> 1997. “Eastern Armenia from the Seventeenth Century to the Russian Annexation.” In </w:t>
      </w:r>
      <w:r w:rsidRPr="005662D8">
        <w:rPr>
          <w:rStyle w:val="Enfasicorsivo"/>
          <w:sz w:val="20"/>
          <w:szCs w:val="20"/>
          <w:lang w:val="en-US"/>
        </w:rPr>
        <w:t>The Armenian People from Ancient to Modern Times</w:t>
      </w:r>
      <w:r w:rsidRPr="005662D8">
        <w:rPr>
          <w:sz w:val="20"/>
          <w:szCs w:val="20"/>
          <w:lang w:val="en-US"/>
        </w:rPr>
        <w:t>, 81–106. New York, United States: St. Martin’s Press.</w:t>
      </w:r>
    </w:p>
    <w:p w14:paraId="47AD892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Bowen, Glenn A.</w:t>
      </w:r>
      <w:r w:rsidRPr="005662D8">
        <w:rPr>
          <w:sz w:val="20"/>
          <w:szCs w:val="20"/>
          <w:lang w:val="en-US"/>
        </w:rPr>
        <w:t xml:space="preserve"> 2009. “Document Analysis as a Qualitative Research Method.” </w:t>
      </w:r>
      <w:r w:rsidRPr="005662D8">
        <w:rPr>
          <w:rStyle w:val="Enfasicorsivo"/>
          <w:sz w:val="20"/>
          <w:szCs w:val="20"/>
          <w:lang w:val="en-US"/>
        </w:rPr>
        <w:t>Qualitative Research Journal</w:t>
      </w:r>
      <w:r w:rsidRPr="005662D8">
        <w:rPr>
          <w:sz w:val="20"/>
          <w:szCs w:val="20"/>
          <w:lang w:val="en-US"/>
        </w:rPr>
        <w:t xml:space="preserve"> 9 (2): 27–40. </w:t>
      </w:r>
      <w:hyperlink r:id="rId100" w:tgtFrame="_new" w:history="1">
        <w:r w:rsidRPr="005662D8">
          <w:rPr>
            <w:rStyle w:val="Collegamentoipertestuale"/>
            <w:sz w:val="20"/>
            <w:szCs w:val="20"/>
            <w:lang w:val="en-US"/>
          </w:rPr>
          <w:t>https://doi.org/10.3316/qrj0902027</w:t>
        </w:r>
      </w:hyperlink>
      <w:r w:rsidRPr="005662D8">
        <w:rPr>
          <w:sz w:val="20"/>
          <w:szCs w:val="20"/>
          <w:lang w:val="en-US"/>
        </w:rPr>
        <w:t>.</w:t>
      </w:r>
    </w:p>
    <w:p w14:paraId="67734E7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Brader, Ted, and George Marcus.</w:t>
      </w:r>
      <w:r w:rsidRPr="005662D8">
        <w:rPr>
          <w:sz w:val="20"/>
          <w:szCs w:val="20"/>
          <w:lang w:val="en-US"/>
        </w:rPr>
        <w:t xml:space="preserve"> 2013. “Emotion and Political Psychology.” In </w:t>
      </w:r>
      <w:r w:rsidRPr="005662D8">
        <w:rPr>
          <w:rStyle w:val="Enfasicorsivo"/>
          <w:sz w:val="20"/>
          <w:szCs w:val="20"/>
          <w:lang w:val="en-US"/>
        </w:rPr>
        <w:t>The Oxford Handbook of Political Psychology</w:t>
      </w:r>
      <w:r w:rsidRPr="005662D8">
        <w:rPr>
          <w:sz w:val="20"/>
          <w:szCs w:val="20"/>
          <w:lang w:val="en-US"/>
        </w:rPr>
        <w:t>, 165–204. Oxford, United Kingdom: Oxford University Press.</w:t>
      </w:r>
    </w:p>
    <w:p w14:paraId="4D963F5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Braun, Virginia, and Victoria Clarke.</w:t>
      </w:r>
      <w:r w:rsidRPr="005662D8">
        <w:rPr>
          <w:sz w:val="20"/>
          <w:szCs w:val="20"/>
          <w:lang w:val="en-US"/>
        </w:rPr>
        <w:t xml:space="preserve"> 2012a. “Thematic Analysis.” In </w:t>
      </w:r>
      <w:r w:rsidRPr="005662D8">
        <w:rPr>
          <w:rStyle w:val="Enfasicorsivo"/>
          <w:sz w:val="20"/>
          <w:szCs w:val="20"/>
          <w:lang w:val="en-US"/>
        </w:rPr>
        <w:t>APA Handbook of Research Methods in Psychology</w:t>
      </w:r>
      <w:r w:rsidRPr="005662D8">
        <w:rPr>
          <w:sz w:val="20"/>
          <w:szCs w:val="20"/>
          <w:lang w:val="en-US"/>
        </w:rPr>
        <w:t>, 57–71. New York, United States: American Psychological Association.</w:t>
      </w:r>
    </w:p>
    <w:p w14:paraId="1809B09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Bridge, Roy, and Roger Bullen.</w:t>
      </w:r>
      <w:r w:rsidRPr="005662D8">
        <w:rPr>
          <w:sz w:val="20"/>
          <w:szCs w:val="20"/>
          <w:lang w:val="en-US"/>
        </w:rPr>
        <w:t xml:space="preserve"> 2005. </w:t>
      </w:r>
      <w:r w:rsidRPr="005662D8">
        <w:rPr>
          <w:rStyle w:val="Enfasicorsivo"/>
          <w:sz w:val="20"/>
          <w:szCs w:val="20"/>
          <w:lang w:val="en-US"/>
        </w:rPr>
        <w:t>The Great Powers and the European States System 1814–1914.</w:t>
      </w:r>
      <w:r w:rsidRPr="005662D8">
        <w:rPr>
          <w:sz w:val="20"/>
          <w:szCs w:val="20"/>
          <w:lang w:val="en-US"/>
        </w:rPr>
        <w:t xml:space="preserve"> Harlow, United Kingdom: Pearson Longman.</w:t>
      </w:r>
    </w:p>
    <w:p w14:paraId="46C8A0F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Broers, Laurence.</w:t>
      </w:r>
      <w:r w:rsidRPr="005662D8">
        <w:rPr>
          <w:sz w:val="20"/>
          <w:szCs w:val="20"/>
          <w:lang w:val="en-US"/>
        </w:rPr>
        <w:t xml:space="preserve"> 2016. “The Nagorny Karabakh Conflict: Defaulting to War.” </w:t>
      </w:r>
      <w:r w:rsidRPr="005662D8">
        <w:rPr>
          <w:rStyle w:val="Enfasicorsivo"/>
          <w:sz w:val="20"/>
          <w:szCs w:val="20"/>
          <w:lang w:val="en-US"/>
        </w:rPr>
        <w:t>Chatham House – Russia and Eurasia Programme</w:t>
      </w:r>
      <w:r w:rsidRPr="005662D8">
        <w:rPr>
          <w:sz w:val="20"/>
          <w:szCs w:val="20"/>
          <w:lang w:val="en-US"/>
        </w:rPr>
        <w:t>, 1–38.</w:t>
      </w:r>
    </w:p>
    <w:p w14:paraId="19D322B5"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Broers, Laurence. 2021. </w:t>
      </w:r>
      <w:r w:rsidRPr="005662D8">
        <w:rPr>
          <w:rStyle w:val="Enfasicorsivo"/>
          <w:sz w:val="20"/>
          <w:szCs w:val="20"/>
          <w:lang w:val="en-US"/>
        </w:rPr>
        <w:t>Armenia and Azerbaijan: Anatomy of a Rivalry</w:t>
      </w:r>
      <w:r w:rsidRPr="005662D8">
        <w:rPr>
          <w:sz w:val="20"/>
          <w:szCs w:val="20"/>
          <w:lang w:val="en-US"/>
        </w:rPr>
        <w:t>. Edinburgh, United Kingdom: Edinburgh University Press.</w:t>
      </w:r>
    </w:p>
    <w:p w14:paraId="53E7357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Browning, Christopher S.</w:t>
      </w:r>
      <w:r w:rsidRPr="005662D8">
        <w:rPr>
          <w:sz w:val="20"/>
          <w:szCs w:val="20"/>
          <w:lang w:val="en-US"/>
        </w:rPr>
        <w:t xml:space="preserve"> 2019. “Brexit Populism and Fantasies of Fulfilment.” </w:t>
      </w:r>
      <w:r w:rsidRPr="005662D8">
        <w:rPr>
          <w:rStyle w:val="Enfasicorsivo"/>
          <w:sz w:val="20"/>
          <w:szCs w:val="20"/>
          <w:lang w:val="en-US"/>
        </w:rPr>
        <w:t>Cambridge Review of International Affairs</w:t>
      </w:r>
      <w:r w:rsidRPr="005662D8">
        <w:rPr>
          <w:sz w:val="20"/>
          <w:szCs w:val="20"/>
          <w:lang w:val="en-US"/>
        </w:rPr>
        <w:t xml:space="preserve"> 32 (3): 222–44. </w:t>
      </w:r>
      <w:hyperlink r:id="rId101" w:history="1">
        <w:r w:rsidRPr="005662D8">
          <w:rPr>
            <w:rStyle w:val="Collegamentoipertestuale"/>
            <w:sz w:val="20"/>
            <w:szCs w:val="20"/>
            <w:lang w:val="en-US"/>
          </w:rPr>
          <w:t>https://doi.org/10.1080/09557571.2019.1567461</w:t>
        </w:r>
      </w:hyperlink>
      <w:r w:rsidRPr="005662D8">
        <w:rPr>
          <w:sz w:val="20"/>
          <w:szCs w:val="20"/>
          <w:lang w:val="en-US"/>
        </w:rPr>
        <w:t>.</w:t>
      </w:r>
    </w:p>
    <w:p w14:paraId="67FB33E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Browning, Christopher S., and Pertti Joenniemi.</w:t>
      </w:r>
      <w:r w:rsidRPr="005662D8">
        <w:rPr>
          <w:sz w:val="20"/>
          <w:szCs w:val="20"/>
          <w:lang w:val="en-US"/>
        </w:rPr>
        <w:t xml:space="preserve"> 2016. “Ontological Security, Self-Articulation and the Securitization of Identity.” </w:t>
      </w:r>
      <w:r w:rsidRPr="005662D8">
        <w:rPr>
          <w:rStyle w:val="Enfasicorsivo"/>
          <w:sz w:val="20"/>
          <w:szCs w:val="20"/>
          <w:lang w:val="en-US"/>
        </w:rPr>
        <w:t>Cooperation and Conflict</w:t>
      </w:r>
      <w:r w:rsidRPr="005662D8">
        <w:rPr>
          <w:sz w:val="20"/>
          <w:szCs w:val="20"/>
          <w:lang w:val="en-US"/>
        </w:rPr>
        <w:t xml:space="preserve"> 52 (1): 31–47. </w:t>
      </w:r>
      <w:hyperlink r:id="rId102" w:history="1">
        <w:r w:rsidRPr="005662D8">
          <w:rPr>
            <w:rStyle w:val="Collegamentoipertestuale"/>
            <w:sz w:val="20"/>
            <w:szCs w:val="20"/>
            <w:lang w:val="en-US"/>
          </w:rPr>
          <w:t>https://doi.org/10.1177/0010836716653161</w:t>
        </w:r>
      </w:hyperlink>
      <w:r w:rsidRPr="005662D8">
        <w:rPr>
          <w:sz w:val="20"/>
          <w:szCs w:val="20"/>
          <w:lang w:val="en-US"/>
        </w:rPr>
        <w:t>.</w:t>
      </w:r>
    </w:p>
    <w:p w14:paraId="2B021F2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Bryman, Alan.</w:t>
      </w:r>
      <w:r w:rsidRPr="005662D8">
        <w:rPr>
          <w:sz w:val="20"/>
          <w:szCs w:val="20"/>
          <w:lang w:val="en-US"/>
        </w:rPr>
        <w:t xml:space="preserve"> 2012. </w:t>
      </w:r>
      <w:r w:rsidRPr="005662D8">
        <w:rPr>
          <w:rStyle w:val="Enfasicorsivo"/>
          <w:sz w:val="20"/>
          <w:szCs w:val="20"/>
          <w:lang w:val="en-US"/>
        </w:rPr>
        <w:t>Social Research Methods.</w:t>
      </w:r>
      <w:r w:rsidRPr="005662D8">
        <w:rPr>
          <w:sz w:val="20"/>
          <w:szCs w:val="20"/>
          <w:lang w:val="en-US"/>
        </w:rPr>
        <w:t xml:space="preserve"> Oxford, United Kingdom: Oxford University Press.</w:t>
      </w:r>
    </w:p>
    <w:p w14:paraId="0B72AC0F"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Bryusselskiy Oblom. “Nikol Pashinyan Reshil Oprobovat’ Put’ Poroshenko.” </w:t>
      </w:r>
      <w:r w:rsidRPr="005662D8">
        <w:rPr>
          <w:rStyle w:val="Enfasicorsivo"/>
          <w:sz w:val="20"/>
          <w:szCs w:val="20"/>
          <w:lang w:val="en-US"/>
        </w:rPr>
        <w:t>Kentron.am</w:t>
      </w:r>
      <w:r w:rsidRPr="005662D8">
        <w:rPr>
          <w:sz w:val="20"/>
          <w:szCs w:val="20"/>
          <w:lang w:val="en-US"/>
        </w:rPr>
        <w:t xml:space="preserve">, July 19, 2018. Available at: </w:t>
      </w:r>
      <w:hyperlink r:id="rId103" w:tgtFrame="_new" w:history="1">
        <w:r w:rsidRPr="005662D8">
          <w:rPr>
            <w:rStyle w:val="Collegamentoipertestuale"/>
            <w:sz w:val="20"/>
            <w:szCs w:val="20"/>
            <w:lang w:val="en-US"/>
          </w:rPr>
          <w:t>https://kentron.am/ru/news/129910</w:t>
        </w:r>
      </w:hyperlink>
      <w:r w:rsidRPr="005662D8">
        <w:rPr>
          <w:sz w:val="20"/>
          <w:szCs w:val="20"/>
          <w:lang w:val="en-US"/>
        </w:rPr>
        <w:t xml:space="preserve"> (accessed on November 19, 2025).</w:t>
      </w:r>
    </w:p>
    <w:p w14:paraId="493F837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Buchanan, Jane, Branka Sesto, and Giorgi Gogia.</w:t>
      </w:r>
      <w:r w:rsidRPr="005662D8">
        <w:rPr>
          <w:sz w:val="20"/>
          <w:szCs w:val="20"/>
          <w:lang w:val="en-US"/>
        </w:rPr>
        <w:t xml:space="preserve"> 2006. </w:t>
      </w:r>
      <w:r w:rsidRPr="005662D8">
        <w:rPr>
          <w:rStyle w:val="Enfasicorsivo"/>
          <w:sz w:val="20"/>
          <w:szCs w:val="20"/>
          <w:lang w:val="en-US"/>
        </w:rPr>
        <w:t>Singled Out: Russia’s Detention and Expulsion of Georgians.</w:t>
      </w:r>
      <w:r w:rsidRPr="005662D8">
        <w:rPr>
          <w:sz w:val="20"/>
          <w:szCs w:val="20"/>
          <w:lang w:val="en-US"/>
        </w:rPr>
        <w:t xml:space="preserve"> New York, United States: Human Rights Watch.</w:t>
      </w:r>
    </w:p>
    <w:p w14:paraId="24A2E85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Burns, Tony, and Simon Thompson.</w:t>
      </w:r>
      <w:r w:rsidRPr="005662D8">
        <w:rPr>
          <w:sz w:val="20"/>
          <w:szCs w:val="20"/>
          <w:lang w:val="en-US"/>
        </w:rPr>
        <w:t xml:space="preserve"> 2013. </w:t>
      </w:r>
      <w:r w:rsidRPr="005662D8">
        <w:rPr>
          <w:rStyle w:val="Enfasicorsivo"/>
          <w:sz w:val="20"/>
          <w:szCs w:val="20"/>
          <w:lang w:val="en-US"/>
        </w:rPr>
        <w:t>Global Justice and the Politics of Recognition.</w:t>
      </w:r>
      <w:r w:rsidRPr="005662D8">
        <w:rPr>
          <w:sz w:val="20"/>
          <w:szCs w:val="20"/>
          <w:lang w:val="en-US"/>
        </w:rPr>
        <w:t xml:space="preserve"> Houndmills, Basingstoke, Hampshire, United Kingdom: Palgrave Macmillan.</w:t>
      </w:r>
    </w:p>
    <w:p w14:paraId="18B7F40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Buzan, Barry, and Ole Wæver.</w:t>
      </w:r>
      <w:r w:rsidRPr="005662D8">
        <w:rPr>
          <w:sz w:val="20"/>
          <w:szCs w:val="20"/>
          <w:lang w:val="en-US"/>
        </w:rPr>
        <w:t xml:space="preserve"> 2003. </w:t>
      </w:r>
      <w:r w:rsidRPr="005662D8">
        <w:rPr>
          <w:rStyle w:val="Enfasicorsivo"/>
          <w:sz w:val="20"/>
          <w:szCs w:val="20"/>
          <w:lang w:val="en-US"/>
        </w:rPr>
        <w:t>Regions and Powers: The Structure of International Security.</w:t>
      </w:r>
      <w:r w:rsidRPr="005662D8">
        <w:rPr>
          <w:sz w:val="20"/>
          <w:szCs w:val="20"/>
          <w:lang w:val="en-US"/>
        </w:rPr>
        <w:t xml:space="preserve"> Cambridge, United Kingdom: Cambridge University Press.</w:t>
      </w:r>
    </w:p>
    <w:p w14:paraId="641865C9" w14:textId="77777777" w:rsidR="00E9035E" w:rsidRPr="005662D8" w:rsidRDefault="00E9035E" w:rsidP="005662D8">
      <w:pPr>
        <w:pStyle w:val="NormaleWeb"/>
        <w:spacing w:line="240" w:lineRule="auto"/>
        <w:rPr>
          <w:rStyle w:val="Enfasigrassetto"/>
          <w:b w:val="0"/>
          <w:sz w:val="20"/>
          <w:szCs w:val="20"/>
        </w:rPr>
      </w:pPr>
      <w:r w:rsidRPr="005662D8">
        <w:rPr>
          <w:rStyle w:val="Enfasigrassetto"/>
          <w:b w:val="0"/>
          <w:sz w:val="20"/>
          <w:szCs w:val="20"/>
          <w:lang w:val="en-US"/>
        </w:rPr>
        <w:t xml:space="preserve">Cable News Network. (2023, September 17). Is one of Russia’s oldest allies slipping from the Kremlin’s orbit? </w:t>
      </w:r>
      <w:r w:rsidRPr="005662D8">
        <w:rPr>
          <w:rStyle w:val="Enfasigrassetto"/>
          <w:b w:val="0"/>
          <w:sz w:val="20"/>
          <w:szCs w:val="20"/>
        </w:rPr>
        <w:t xml:space="preserve">CNN. </w:t>
      </w:r>
      <w:hyperlink r:id="rId104" w:history="1">
        <w:r w:rsidRPr="005662D8">
          <w:rPr>
            <w:rStyle w:val="Collegamentoipertestuale"/>
            <w:sz w:val="20"/>
            <w:szCs w:val="20"/>
          </w:rPr>
          <w:t>https://edition.cnn.com/2023/09/17/world/armenia-russia-kremlin-us-intl</w:t>
        </w:r>
      </w:hyperlink>
      <w:r w:rsidRPr="005662D8">
        <w:rPr>
          <w:rStyle w:val="Enfasigrassetto"/>
          <w:b w:val="0"/>
          <w:sz w:val="20"/>
          <w:szCs w:val="20"/>
        </w:rPr>
        <w:t>.</w:t>
      </w:r>
    </w:p>
    <w:p w14:paraId="1705BC4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Cairns, Douglas.</w:t>
      </w:r>
      <w:r w:rsidRPr="005662D8">
        <w:rPr>
          <w:sz w:val="20"/>
          <w:szCs w:val="20"/>
          <w:lang w:val="en-US"/>
        </w:rPr>
        <w:t xml:space="preserve"> 2011. “</w:t>
      </w:r>
      <w:r w:rsidRPr="005662D8">
        <w:rPr>
          <w:sz w:val="20"/>
          <w:szCs w:val="20"/>
        </w:rPr>
        <w:t>Ψυχή</w:t>
      </w:r>
      <w:r w:rsidRPr="005662D8">
        <w:rPr>
          <w:sz w:val="20"/>
          <w:szCs w:val="20"/>
          <w:lang w:val="en-US"/>
        </w:rPr>
        <w:t xml:space="preserve">, </w:t>
      </w:r>
      <w:r w:rsidRPr="005662D8">
        <w:rPr>
          <w:sz w:val="20"/>
          <w:szCs w:val="20"/>
        </w:rPr>
        <w:t>Θυμός</w:t>
      </w:r>
      <w:r w:rsidRPr="005662D8">
        <w:rPr>
          <w:sz w:val="20"/>
          <w:szCs w:val="20"/>
          <w:lang w:val="en-US"/>
        </w:rPr>
        <w:t xml:space="preserve">, and Metaphor in Homer and Plato.” </w:t>
      </w:r>
      <w:r w:rsidRPr="005662D8">
        <w:rPr>
          <w:rStyle w:val="Enfasicorsivo"/>
          <w:sz w:val="20"/>
          <w:szCs w:val="20"/>
          <w:lang w:val="en-US"/>
        </w:rPr>
        <w:t>Études Platoniciennes</w:t>
      </w:r>
      <w:r w:rsidRPr="005662D8">
        <w:rPr>
          <w:sz w:val="20"/>
          <w:szCs w:val="20"/>
          <w:lang w:val="en-US"/>
        </w:rPr>
        <w:t xml:space="preserve"> 11 (December). </w:t>
      </w:r>
      <w:hyperlink r:id="rId105" w:history="1">
        <w:r w:rsidRPr="005662D8">
          <w:rPr>
            <w:rStyle w:val="Collegamentoipertestuale"/>
            <w:sz w:val="20"/>
            <w:szCs w:val="20"/>
            <w:lang w:val="en-US"/>
          </w:rPr>
          <w:t>https://doi.org/10.4000/etudesplatoniciennes.566</w:t>
        </w:r>
      </w:hyperlink>
      <w:r w:rsidRPr="005662D8">
        <w:rPr>
          <w:sz w:val="20"/>
          <w:szCs w:val="20"/>
          <w:lang w:val="en-US"/>
        </w:rPr>
        <w:t>.</w:t>
      </w:r>
    </w:p>
    <w:p w14:paraId="52154EC7" w14:textId="77777777" w:rsidR="00E9035E" w:rsidRPr="00CA7E2D" w:rsidRDefault="00E9035E" w:rsidP="005662D8">
      <w:pPr>
        <w:pStyle w:val="NormaleWeb"/>
        <w:spacing w:line="240" w:lineRule="auto"/>
        <w:rPr>
          <w:sz w:val="20"/>
          <w:szCs w:val="20"/>
        </w:rPr>
      </w:pPr>
      <w:r w:rsidRPr="005662D8">
        <w:rPr>
          <w:sz w:val="20"/>
          <w:szCs w:val="20"/>
          <w:lang w:val="en-US"/>
        </w:rPr>
        <w:t xml:space="preserve">Caucasus Resource Center. 2021b. </w:t>
      </w:r>
      <w:r w:rsidRPr="005662D8">
        <w:rPr>
          <w:rStyle w:val="Enfasicorsivo"/>
          <w:sz w:val="20"/>
          <w:szCs w:val="20"/>
          <w:lang w:val="en-US"/>
        </w:rPr>
        <w:t>Caucasus Barometer 2021</w:t>
      </w:r>
      <w:r w:rsidRPr="005662D8">
        <w:rPr>
          <w:sz w:val="20"/>
          <w:szCs w:val="20"/>
          <w:lang w:val="en-US"/>
        </w:rPr>
        <w:t xml:space="preserve">. </w:t>
      </w:r>
      <w:hyperlink r:id="rId106" w:tgtFrame="_new" w:history="1">
        <w:r w:rsidRPr="00CA7E2D">
          <w:rPr>
            <w:rStyle w:val="Collegamentoipertestuale"/>
            <w:sz w:val="20"/>
            <w:szCs w:val="20"/>
          </w:rPr>
          <w:t>https://www.crrc.am/wp-content/uploads/2022/06/Barometer-2021_pptx_ENG_Final_14․06․22.pdf</w:t>
        </w:r>
      </w:hyperlink>
    </w:p>
    <w:p w14:paraId="167C17B7" w14:textId="77777777" w:rsidR="00E9035E" w:rsidRPr="005662D8" w:rsidRDefault="00E9035E" w:rsidP="005662D8">
      <w:pPr>
        <w:pStyle w:val="NormaleWeb"/>
        <w:spacing w:line="240" w:lineRule="auto"/>
        <w:rPr>
          <w:sz w:val="20"/>
          <w:szCs w:val="20"/>
        </w:rPr>
      </w:pPr>
      <w:r w:rsidRPr="005662D8">
        <w:rPr>
          <w:sz w:val="20"/>
          <w:szCs w:val="20"/>
          <w:lang w:val="en-US"/>
        </w:rPr>
        <w:t xml:space="preserve">Caucasus Watch. 2024b. “Pashinyan Accuses CSTO Allies of Supporting Azerbaijan in 2020 War.” May. </w:t>
      </w:r>
      <w:hyperlink r:id="rId107" w:tgtFrame="_new" w:history="1">
        <w:r w:rsidRPr="005662D8">
          <w:rPr>
            <w:rStyle w:val="Collegamentoipertestuale"/>
            <w:sz w:val="20"/>
            <w:szCs w:val="20"/>
          </w:rPr>
          <w:t>https://caucasuswatch.de/en/news/pashinyan-accuses-csto-allies-of-supporting-azerbaijan-in-2020-war.html</w:t>
        </w:r>
      </w:hyperlink>
    </w:p>
    <w:p w14:paraId="31A67EC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Cavoukian, Kristin.</w:t>
      </w:r>
      <w:r w:rsidRPr="005662D8">
        <w:rPr>
          <w:sz w:val="20"/>
          <w:szCs w:val="20"/>
          <w:lang w:val="en-US"/>
        </w:rPr>
        <w:t xml:space="preserve"> 2013. “‘Soviet Mentality?’ The Role of Shared Political Culture in Relations between the Armenian State and Russia’s Armenian Diaspora.” </w:t>
      </w:r>
      <w:r w:rsidRPr="005662D8">
        <w:rPr>
          <w:rStyle w:val="Enfasicorsivo"/>
          <w:sz w:val="20"/>
          <w:szCs w:val="20"/>
          <w:lang w:val="en-US"/>
        </w:rPr>
        <w:t>Nationalities Papers</w:t>
      </w:r>
      <w:r w:rsidRPr="005662D8">
        <w:rPr>
          <w:sz w:val="20"/>
          <w:szCs w:val="20"/>
          <w:lang w:val="en-US"/>
        </w:rPr>
        <w:t xml:space="preserve"> 41 (5): 709–29. </w:t>
      </w:r>
      <w:hyperlink r:id="rId108" w:history="1">
        <w:r w:rsidRPr="005662D8">
          <w:rPr>
            <w:rStyle w:val="Collegamentoipertestuale"/>
            <w:sz w:val="20"/>
            <w:szCs w:val="20"/>
            <w:lang w:val="en-US"/>
          </w:rPr>
          <w:t>https://doi.org/10.1080/00905992.2013.767227</w:t>
        </w:r>
      </w:hyperlink>
      <w:r w:rsidRPr="005662D8">
        <w:rPr>
          <w:sz w:val="20"/>
          <w:szCs w:val="20"/>
          <w:lang w:val="en-US"/>
        </w:rPr>
        <w:t>.</w:t>
      </w:r>
    </w:p>
    <w:p w14:paraId="5B5A741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Cekuta, Robert.</w:t>
      </w:r>
      <w:r w:rsidRPr="005662D8">
        <w:rPr>
          <w:sz w:val="20"/>
          <w:szCs w:val="20"/>
          <w:lang w:val="en-US"/>
        </w:rPr>
        <w:t xml:space="preserve"> 2020. “CPC: 25 Years after the ‘Contract of the Century’: The Implications for Caspian Energy.” </w:t>
      </w:r>
      <w:r w:rsidRPr="005662D8">
        <w:rPr>
          <w:rStyle w:val="Enfasicorsivo"/>
          <w:sz w:val="20"/>
          <w:szCs w:val="20"/>
          <w:lang w:val="en-US"/>
        </w:rPr>
        <w:t>Caspian Policy Center.</w:t>
      </w:r>
      <w:r w:rsidRPr="005662D8">
        <w:rPr>
          <w:sz w:val="20"/>
          <w:szCs w:val="20"/>
          <w:lang w:val="en-US"/>
        </w:rPr>
        <w:t xml:space="preserve"> Available at: </w:t>
      </w:r>
      <w:hyperlink r:id="rId109" w:tgtFrame="_new" w:history="1">
        <w:r w:rsidRPr="005662D8">
          <w:rPr>
            <w:rStyle w:val="Collegamentoipertestuale"/>
            <w:sz w:val="20"/>
            <w:szCs w:val="20"/>
            <w:lang w:val="en-US"/>
          </w:rPr>
          <w:t>https://www.caspianpolicy.org/research/articles/25-years-after-the-contract-of-the-century-the-implications-for-caspian-energy</w:t>
        </w:r>
      </w:hyperlink>
      <w:r w:rsidRPr="005662D8">
        <w:rPr>
          <w:sz w:val="20"/>
          <w:szCs w:val="20"/>
          <w:lang w:val="en-US"/>
        </w:rPr>
        <w:t xml:space="preserve"> (accessed on November 19, 2025).</w:t>
      </w:r>
    </w:p>
    <w:p w14:paraId="382410A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Cesa, Marco.</w:t>
      </w:r>
      <w:r w:rsidRPr="005662D8">
        <w:rPr>
          <w:sz w:val="20"/>
          <w:szCs w:val="20"/>
          <w:lang w:val="en-US"/>
        </w:rPr>
        <w:t xml:space="preserve"> 2017. “Great Powers.” In </w:t>
      </w:r>
      <w:r w:rsidRPr="005662D8">
        <w:rPr>
          <w:rStyle w:val="Enfasicorsivo"/>
          <w:sz w:val="20"/>
          <w:szCs w:val="20"/>
          <w:lang w:val="en-US"/>
        </w:rPr>
        <w:t>An Introduction to International Relations</w:t>
      </w:r>
      <w:r w:rsidRPr="005662D8">
        <w:rPr>
          <w:sz w:val="20"/>
          <w:szCs w:val="20"/>
          <w:lang w:val="en-US"/>
        </w:rPr>
        <w:t>, 671–93. Cambridge, United Kingdom: Cambridge University Press.</w:t>
      </w:r>
    </w:p>
    <w:p w14:paraId="5AA004B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Chanadiri, Nino.</w:t>
      </w:r>
      <w:r w:rsidRPr="005662D8">
        <w:rPr>
          <w:sz w:val="20"/>
          <w:szCs w:val="20"/>
          <w:lang w:val="en-US"/>
        </w:rPr>
        <w:t xml:space="preserve"> 2022a. “Georgian Foundation for Strategic and International Studies.” </w:t>
      </w:r>
      <w:r w:rsidRPr="005662D8">
        <w:rPr>
          <w:rStyle w:val="Enfasicorsivo"/>
          <w:sz w:val="20"/>
          <w:szCs w:val="20"/>
          <w:lang w:val="en-US"/>
        </w:rPr>
        <w:t>GFSIS.</w:t>
      </w:r>
      <w:r w:rsidRPr="005662D8">
        <w:rPr>
          <w:sz w:val="20"/>
          <w:szCs w:val="20"/>
          <w:lang w:val="en-US"/>
        </w:rPr>
        <w:t xml:space="preserve"> Available at: </w:t>
      </w:r>
      <w:hyperlink r:id="rId110" w:tgtFrame="_new" w:history="1">
        <w:r w:rsidRPr="005662D8">
          <w:rPr>
            <w:rStyle w:val="Collegamentoipertestuale"/>
            <w:sz w:val="20"/>
            <w:szCs w:val="20"/>
            <w:lang w:val="en-US"/>
          </w:rPr>
          <w:t>https://gfsis.org.ge/</w:t>
        </w:r>
      </w:hyperlink>
      <w:r w:rsidRPr="005662D8">
        <w:rPr>
          <w:sz w:val="20"/>
          <w:szCs w:val="20"/>
          <w:lang w:val="en-US"/>
        </w:rPr>
        <w:t xml:space="preserve"> (accessed on November 19, 2025).</w:t>
      </w:r>
    </w:p>
    <w:p w14:paraId="47E22B8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Charap, Samuel, and Timothy J. Colton.</w:t>
      </w:r>
      <w:r w:rsidRPr="005662D8">
        <w:rPr>
          <w:sz w:val="20"/>
          <w:szCs w:val="20"/>
          <w:lang w:val="en-US"/>
        </w:rPr>
        <w:t xml:space="preserve"> 2017. </w:t>
      </w:r>
      <w:r w:rsidRPr="005662D8">
        <w:rPr>
          <w:rStyle w:val="Enfasicorsivo"/>
          <w:sz w:val="20"/>
          <w:szCs w:val="20"/>
          <w:lang w:val="en-US"/>
        </w:rPr>
        <w:t>Everyone Loses: The Ukraine Crisis and the Ruinous Contest for Post-Soviet Eurasia.</w:t>
      </w:r>
      <w:r w:rsidRPr="005662D8">
        <w:rPr>
          <w:sz w:val="20"/>
          <w:szCs w:val="20"/>
          <w:lang w:val="en-US"/>
        </w:rPr>
        <w:t xml:space="preserve"> Abingdon, Oxon, United Kingdom: Routledge.</w:t>
      </w:r>
    </w:p>
    <w:p w14:paraId="4AAD0A0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Chedia, Anri R.</w:t>
      </w:r>
      <w:r w:rsidRPr="005662D8">
        <w:rPr>
          <w:sz w:val="20"/>
          <w:szCs w:val="20"/>
          <w:lang w:val="en-US"/>
        </w:rPr>
        <w:t xml:space="preserve"> 2024. “Zangezur Corridor: Economic Potential and Political Constraints.” </w:t>
      </w:r>
      <w:r w:rsidRPr="005662D8">
        <w:rPr>
          <w:rStyle w:val="Enfasicorsivo"/>
          <w:sz w:val="20"/>
          <w:szCs w:val="20"/>
          <w:lang w:val="en-US"/>
        </w:rPr>
        <w:t>Russia in Global Affairs</w:t>
      </w:r>
      <w:r w:rsidRPr="005662D8">
        <w:rPr>
          <w:sz w:val="20"/>
          <w:szCs w:val="20"/>
          <w:lang w:val="en-US"/>
        </w:rPr>
        <w:t xml:space="preserve"> 22 (1): 194–216. </w:t>
      </w:r>
      <w:hyperlink r:id="rId111" w:history="1">
        <w:r w:rsidRPr="005662D8">
          <w:rPr>
            <w:rStyle w:val="Collegamentoipertestuale"/>
            <w:sz w:val="20"/>
            <w:szCs w:val="20"/>
            <w:lang w:val="en-US"/>
          </w:rPr>
          <w:t>https://doi.org/10.31278/1810-6374-2024-22-1-194-216</w:t>
        </w:r>
      </w:hyperlink>
      <w:r w:rsidRPr="005662D8">
        <w:rPr>
          <w:sz w:val="20"/>
          <w:szCs w:val="20"/>
          <w:lang w:val="en-US"/>
        </w:rPr>
        <w:t>.</w:t>
      </w:r>
    </w:p>
    <w:p w14:paraId="6B67620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Cheterian, Vicken.</w:t>
      </w:r>
      <w:r w:rsidRPr="005662D8">
        <w:rPr>
          <w:sz w:val="20"/>
          <w:szCs w:val="20"/>
          <w:lang w:val="en-US"/>
        </w:rPr>
        <w:t xml:space="preserve"> 2023. “Friend and Foe: Russia–Turkey Relations before and after the War in Ukraine.” </w:t>
      </w:r>
      <w:r w:rsidRPr="005662D8">
        <w:rPr>
          <w:rStyle w:val="Enfasicorsivo"/>
          <w:sz w:val="20"/>
          <w:szCs w:val="20"/>
          <w:lang w:val="en-US"/>
        </w:rPr>
        <w:t>Small Wars &amp; Insurgencies</w:t>
      </w:r>
      <w:r w:rsidRPr="005662D8">
        <w:rPr>
          <w:sz w:val="20"/>
          <w:szCs w:val="20"/>
          <w:lang w:val="en-US"/>
        </w:rPr>
        <w:t xml:space="preserve"> 34 (7): 1271–94. </w:t>
      </w:r>
      <w:hyperlink r:id="rId112" w:history="1">
        <w:r w:rsidRPr="005662D8">
          <w:rPr>
            <w:rStyle w:val="Collegamentoipertestuale"/>
            <w:sz w:val="20"/>
            <w:szCs w:val="20"/>
            <w:lang w:val="en-US"/>
          </w:rPr>
          <w:t>https://doi.org/10.1080/09592318.2023.2185443</w:t>
        </w:r>
      </w:hyperlink>
      <w:r w:rsidRPr="005662D8">
        <w:rPr>
          <w:sz w:val="20"/>
          <w:szCs w:val="20"/>
          <w:lang w:val="en-US"/>
        </w:rPr>
        <w:t>.</w:t>
      </w:r>
    </w:p>
    <w:p w14:paraId="7829519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Clément, Maéva, Thomas Lindemann, and Eric Sangar.</w:t>
      </w:r>
      <w:r w:rsidRPr="005662D8">
        <w:rPr>
          <w:sz w:val="20"/>
          <w:szCs w:val="20"/>
          <w:lang w:val="en-US"/>
        </w:rPr>
        <w:t xml:space="preserve"> 2016. “The ‘Hero-Protector Narrative’: Manufacturing Emotional Consent for the Use of Force.” </w:t>
      </w:r>
      <w:r w:rsidRPr="005662D8">
        <w:rPr>
          <w:rStyle w:val="Enfasicorsivo"/>
          <w:sz w:val="20"/>
          <w:szCs w:val="20"/>
          <w:lang w:val="en-US"/>
        </w:rPr>
        <w:t>Political Psychology</w:t>
      </w:r>
      <w:r w:rsidRPr="005662D8">
        <w:rPr>
          <w:sz w:val="20"/>
          <w:szCs w:val="20"/>
          <w:lang w:val="en-US"/>
        </w:rPr>
        <w:t xml:space="preserve"> 38 (6): 991–1008. </w:t>
      </w:r>
      <w:hyperlink r:id="rId113" w:history="1">
        <w:r w:rsidRPr="005662D8">
          <w:rPr>
            <w:rStyle w:val="Collegamentoipertestuale"/>
            <w:sz w:val="20"/>
            <w:szCs w:val="20"/>
            <w:lang w:val="en-US"/>
          </w:rPr>
          <w:t>https://doi.org/10.1111/pops.12385</w:t>
        </w:r>
      </w:hyperlink>
      <w:r w:rsidRPr="005662D8">
        <w:rPr>
          <w:sz w:val="20"/>
          <w:szCs w:val="20"/>
          <w:lang w:val="en-US"/>
        </w:rPr>
        <w:t>.</w:t>
      </w:r>
    </w:p>
    <w:p w14:paraId="642B984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Clunan, Anne L.</w:t>
      </w:r>
      <w:r w:rsidRPr="005662D8">
        <w:rPr>
          <w:sz w:val="20"/>
          <w:szCs w:val="20"/>
          <w:lang w:val="en-US"/>
        </w:rPr>
        <w:t xml:space="preserve"> 2014. “Historical Aspirations and the Domestic Politics of Russia’s Pursuit of International Status.” </w:t>
      </w:r>
      <w:r w:rsidRPr="005662D8">
        <w:rPr>
          <w:rStyle w:val="Enfasicorsivo"/>
          <w:sz w:val="20"/>
          <w:szCs w:val="20"/>
          <w:lang w:val="en-US"/>
        </w:rPr>
        <w:t>Communist and Post-Communist Studies</w:t>
      </w:r>
      <w:r w:rsidRPr="005662D8">
        <w:rPr>
          <w:sz w:val="20"/>
          <w:szCs w:val="20"/>
          <w:lang w:val="en-US"/>
        </w:rPr>
        <w:t xml:space="preserve"> 47 (3–4): 281–90. </w:t>
      </w:r>
      <w:hyperlink r:id="rId114" w:history="1">
        <w:r w:rsidRPr="005662D8">
          <w:rPr>
            <w:rStyle w:val="Collegamentoipertestuale"/>
            <w:sz w:val="20"/>
            <w:szCs w:val="20"/>
            <w:lang w:val="en-US"/>
          </w:rPr>
          <w:t>https://doi.org/10.1016/j.postcomstud.2014.09.002</w:t>
        </w:r>
      </w:hyperlink>
      <w:r w:rsidRPr="005662D8">
        <w:rPr>
          <w:sz w:val="20"/>
          <w:szCs w:val="20"/>
          <w:lang w:val="en-US"/>
        </w:rPr>
        <w:t xml:space="preserve">. </w:t>
      </w:r>
    </w:p>
    <w:p w14:paraId="777D727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Coalson, Robert.</w:t>
      </w:r>
      <w:r w:rsidRPr="005662D8">
        <w:rPr>
          <w:sz w:val="20"/>
          <w:szCs w:val="20"/>
          <w:lang w:val="en-US"/>
        </w:rPr>
        <w:t xml:space="preserve"> 2012. “No More ‘Troubles’ for Putin’s Russia.” </w:t>
      </w:r>
      <w:r w:rsidRPr="005662D8">
        <w:rPr>
          <w:rStyle w:val="Enfasicorsivo"/>
          <w:sz w:val="20"/>
          <w:szCs w:val="20"/>
          <w:lang w:val="en-US"/>
        </w:rPr>
        <w:t>Radio Free Europe/Radio Liberty</w:t>
      </w:r>
      <w:r w:rsidRPr="005662D8">
        <w:rPr>
          <w:sz w:val="20"/>
          <w:szCs w:val="20"/>
          <w:lang w:val="en-US"/>
        </w:rPr>
        <w:t xml:space="preserve">, February 2. Available at: </w:t>
      </w:r>
      <w:hyperlink r:id="rId115" w:tgtFrame="_new" w:history="1">
        <w:r w:rsidRPr="005662D8">
          <w:rPr>
            <w:rStyle w:val="Collegamentoipertestuale"/>
            <w:sz w:val="20"/>
            <w:szCs w:val="20"/>
            <w:lang w:val="en-US"/>
          </w:rPr>
          <w:t>https://www.rferl.org/a/1079093.html</w:t>
        </w:r>
      </w:hyperlink>
      <w:r w:rsidRPr="005662D8">
        <w:rPr>
          <w:sz w:val="20"/>
          <w:szCs w:val="20"/>
          <w:lang w:val="en-US"/>
        </w:rPr>
        <w:t xml:space="preserve"> (accessed on November 19, 2025).</w:t>
      </w:r>
    </w:p>
    <w:p w14:paraId="229E4D6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Coghlan, David.</w:t>
      </w:r>
      <w:r w:rsidRPr="005662D8">
        <w:rPr>
          <w:sz w:val="20"/>
          <w:szCs w:val="20"/>
          <w:lang w:val="en-US"/>
        </w:rPr>
        <w:t xml:space="preserve"> 2011. “Action Research: Exploring Perspectives on a Philosophy of Practical Knowing.” </w:t>
      </w:r>
      <w:r w:rsidRPr="005662D8">
        <w:rPr>
          <w:rStyle w:val="Enfasicorsivo"/>
          <w:sz w:val="20"/>
          <w:szCs w:val="20"/>
          <w:lang w:val="en-US"/>
        </w:rPr>
        <w:t>Academy of Management Annals</w:t>
      </w:r>
      <w:r w:rsidRPr="005662D8">
        <w:rPr>
          <w:sz w:val="20"/>
          <w:szCs w:val="20"/>
          <w:lang w:val="en-US"/>
        </w:rPr>
        <w:t xml:space="preserve"> 5 (1): 53–87. </w:t>
      </w:r>
      <w:hyperlink r:id="rId116" w:tgtFrame="_new" w:history="1">
        <w:r w:rsidRPr="005662D8">
          <w:rPr>
            <w:rStyle w:val="Collegamentoipertestuale"/>
            <w:sz w:val="20"/>
            <w:szCs w:val="20"/>
            <w:lang w:val="en-US"/>
          </w:rPr>
          <w:t>https://doi.org/10.5465/19416520.2011.571520</w:t>
        </w:r>
      </w:hyperlink>
      <w:r w:rsidRPr="005662D8">
        <w:rPr>
          <w:sz w:val="20"/>
          <w:szCs w:val="20"/>
          <w:lang w:val="en-US"/>
        </w:rPr>
        <w:t>.</w:t>
      </w:r>
    </w:p>
    <w:p w14:paraId="2E0C253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Connerton, Paul.</w:t>
      </w:r>
      <w:r w:rsidRPr="005662D8">
        <w:rPr>
          <w:sz w:val="20"/>
          <w:szCs w:val="20"/>
          <w:lang w:val="en-US"/>
        </w:rPr>
        <w:t xml:space="preserve"> 1989. </w:t>
      </w:r>
      <w:r w:rsidRPr="005662D8">
        <w:rPr>
          <w:rStyle w:val="Enfasicorsivo"/>
          <w:sz w:val="20"/>
          <w:szCs w:val="20"/>
          <w:lang w:val="en-US"/>
        </w:rPr>
        <w:t>How Societies Remember.</w:t>
      </w:r>
      <w:r w:rsidRPr="005662D8">
        <w:rPr>
          <w:sz w:val="20"/>
          <w:szCs w:val="20"/>
          <w:lang w:val="en-US"/>
        </w:rPr>
        <w:t xml:space="preserve"> Cambridge, United Kingdom: Cambridge University Press.</w:t>
      </w:r>
    </w:p>
    <w:p w14:paraId="22FB61D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Cooley, Alexander.</w:t>
      </w:r>
      <w:r w:rsidRPr="005662D8">
        <w:rPr>
          <w:sz w:val="20"/>
          <w:szCs w:val="20"/>
          <w:lang w:val="en-US"/>
        </w:rPr>
        <w:t xml:space="preserve"> 2012. </w:t>
      </w:r>
      <w:r w:rsidRPr="005662D8">
        <w:rPr>
          <w:rStyle w:val="Enfasicorsivo"/>
          <w:sz w:val="20"/>
          <w:szCs w:val="20"/>
          <w:lang w:val="en-US"/>
        </w:rPr>
        <w:t>Great Games, Local Rules: The New Great Power Contest in Central Asia.</w:t>
      </w:r>
      <w:r w:rsidRPr="005662D8">
        <w:rPr>
          <w:sz w:val="20"/>
          <w:szCs w:val="20"/>
          <w:lang w:val="en-US"/>
        </w:rPr>
        <w:t xml:space="preserve"> New York, United States: Oxford University Press.</w:t>
      </w:r>
    </w:p>
    <w:p w14:paraId="20E4CF1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Corbetta, Piergiorgio.</w:t>
      </w:r>
      <w:r w:rsidRPr="005662D8">
        <w:rPr>
          <w:sz w:val="20"/>
          <w:szCs w:val="20"/>
          <w:lang w:val="en-US"/>
        </w:rPr>
        <w:t xml:space="preserve"> 2011. </w:t>
      </w:r>
      <w:r w:rsidRPr="005662D8">
        <w:rPr>
          <w:rStyle w:val="Enfasicorsivo"/>
          <w:sz w:val="20"/>
          <w:szCs w:val="20"/>
          <w:lang w:val="en-US"/>
        </w:rPr>
        <w:t>Social Research: Theory, Methods and Techniques.</w:t>
      </w:r>
      <w:r w:rsidRPr="005662D8">
        <w:rPr>
          <w:sz w:val="20"/>
          <w:szCs w:val="20"/>
          <w:lang w:val="en-US"/>
        </w:rPr>
        <w:t xml:space="preserve"> London, United Kingdom: Sage.</w:t>
      </w:r>
    </w:p>
    <w:p w14:paraId="04EA883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Cornell, Svante E.</w:t>
      </w:r>
      <w:r w:rsidRPr="005662D8">
        <w:rPr>
          <w:sz w:val="20"/>
          <w:szCs w:val="20"/>
          <w:lang w:val="en-US"/>
        </w:rPr>
        <w:t xml:space="preserve"> 2017. </w:t>
      </w:r>
      <w:r w:rsidRPr="005662D8">
        <w:rPr>
          <w:rStyle w:val="Enfasicorsivo"/>
          <w:sz w:val="20"/>
          <w:szCs w:val="20"/>
          <w:lang w:val="en-US"/>
        </w:rPr>
        <w:t>The International Politics of the Armenian–Azerbaijani Conflict: The Original “Frozen Conflict” and European Security.</w:t>
      </w:r>
      <w:r w:rsidRPr="005662D8">
        <w:rPr>
          <w:sz w:val="20"/>
          <w:szCs w:val="20"/>
          <w:lang w:val="en-US"/>
        </w:rPr>
        <w:t xml:space="preserve"> New York, United States: Palgrave Macmillan.</w:t>
      </w:r>
    </w:p>
    <w:p w14:paraId="3478896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Cornell, Svante.</w:t>
      </w:r>
      <w:r w:rsidRPr="005662D8">
        <w:rPr>
          <w:sz w:val="20"/>
          <w:szCs w:val="20"/>
          <w:lang w:val="en-US"/>
        </w:rPr>
        <w:t xml:space="preserve"> 2001. </w:t>
      </w:r>
      <w:r w:rsidRPr="005662D8">
        <w:rPr>
          <w:rStyle w:val="Enfasicorsivo"/>
          <w:sz w:val="20"/>
          <w:szCs w:val="20"/>
          <w:lang w:val="en-US"/>
        </w:rPr>
        <w:t>Small Nations and Great Powers: A Study of Ethnopolitical Conflict in the Caucasus.</w:t>
      </w:r>
      <w:r w:rsidRPr="005662D8">
        <w:rPr>
          <w:sz w:val="20"/>
          <w:szCs w:val="20"/>
          <w:lang w:val="en-US"/>
        </w:rPr>
        <w:t xml:space="preserve"> London, United Kingdom: Taylor and Francis.</w:t>
      </w:r>
    </w:p>
    <w:p w14:paraId="0F3C5C6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Coser, Lewis A.</w:t>
      </w:r>
      <w:r w:rsidRPr="005662D8">
        <w:rPr>
          <w:sz w:val="20"/>
          <w:szCs w:val="20"/>
          <w:lang w:val="en-US"/>
        </w:rPr>
        <w:t xml:space="preserve"> 1992. </w:t>
      </w:r>
      <w:r w:rsidRPr="005662D8">
        <w:rPr>
          <w:rStyle w:val="Enfasicorsivo"/>
          <w:sz w:val="20"/>
          <w:szCs w:val="20"/>
          <w:lang w:val="en-US"/>
        </w:rPr>
        <w:t>Maurice Halbwachs: On Collective Memory.</w:t>
      </w:r>
      <w:r w:rsidRPr="005662D8">
        <w:rPr>
          <w:sz w:val="20"/>
          <w:szCs w:val="20"/>
          <w:lang w:val="en-US"/>
        </w:rPr>
        <w:t xml:space="preserve"> Chicago, United States: University of Chicago Press.</w:t>
      </w:r>
    </w:p>
    <w:p w14:paraId="19B1E4C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Coyle, James J.</w:t>
      </w:r>
      <w:r w:rsidRPr="005662D8">
        <w:rPr>
          <w:sz w:val="20"/>
          <w:szCs w:val="20"/>
          <w:lang w:val="en-US"/>
        </w:rPr>
        <w:t xml:space="preserve"> 2017. </w:t>
      </w:r>
      <w:r w:rsidRPr="005662D8">
        <w:rPr>
          <w:rStyle w:val="Enfasicorsivo"/>
          <w:sz w:val="20"/>
          <w:szCs w:val="20"/>
          <w:lang w:val="en-US"/>
        </w:rPr>
        <w:t>Russia’s Border Wars and Frozen Conflicts.</w:t>
      </w:r>
      <w:r w:rsidRPr="005662D8">
        <w:rPr>
          <w:sz w:val="20"/>
          <w:szCs w:val="20"/>
          <w:lang w:val="en-US"/>
        </w:rPr>
        <w:t xml:space="preserve"> Cham, Germany: Palgrave Macmillan.</w:t>
      </w:r>
    </w:p>
    <w:p w14:paraId="58A1E4A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Coyle, James.</w:t>
      </w:r>
      <w:r w:rsidRPr="005662D8">
        <w:rPr>
          <w:sz w:val="20"/>
          <w:szCs w:val="20"/>
          <w:lang w:val="en-US"/>
        </w:rPr>
        <w:t xml:space="preserve"> 2021. </w:t>
      </w:r>
      <w:r w:rsidRPr="005662D8">
        <w:rPr>
          <w:rStyle w:val="Enfasicorsivo"/>
          <w:sz w:val="20"/>
          <w:szCs w:val="20"/>
          <w:lang w:val="en-US"/>
        </w:rPr>
        <w:t>Russia’s Interventions in Ethnic Conflicts: The Case of Armenia and Azerbaijan.</w:t>
      </w:r>
      <w:r w:rsidRPr="005662D8">
        <w:rPr>
          <w:sz w:val="20"/>
          <w:szCs w:val="20"/>
          <w:lang w:val="en-US"/>
        </w:rPr>
        <w:t xml:space="preserve"> Cham, Germany: Palgrave Macmillan.</w:t>
      </w:r>
    </w:p>
    <w:p w14:paraId="55CDD66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Crawford, Timothy W.</w:t>
      </w:r>
      <w:r w:rsidRPr="005662D8">
        <w:rPr>
          <w:sz w:val="20"/>
          <w:szCs w:val="20"/>
          <w:lang w:val="en-US"/>
        </w:rPr>
        <w:t xml:space="preserve"> 2003. </w:t>
      </w:r>
      <w:r w:rsidRPr="005662D8">
        <w:rPr>
          <w:rStyle w:val="Enfasicorsivo"/>
          <w:sz w:val="20"/>
          <w:szCs w:val="20"/>
          <w:lang w:val="en-US"/>
        </w:rPr>
        <w:t>Pivotal Deterrence: Third-Party Statecraft and the Pursuit of Peace.</w:t>
      </w:r>
      <w:r w:rsidRPr="005662D8">
        <w:rPr>
          <w:sz w:val="20"/>
          <w:szCs w:val="20"/>
          <w:lang w:val="en-US"/>
        </w:rPr>
        <w:t xml:space="preserve"> Ithaca, United States: Cornell University Press.</w:t>
      </w:r>
    </w:p>
    <w:p w14:paraId="54A5F67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Croft, Stuart.</w:t>
      </w:r>
      <w:r w:rsidRPr="005662D8">
        <w:rPr>
          <w:sz w:val="20"/>
          <w:szCs w:val="20"/>
          <w:lang w:val="en-US"/>
        </w:rPr>
        <w:t xml:space="preserve"> 2012. “Constructing Ontological Insecurity: The Insecuritization of Britain’s Muslims.” </w:t>
      </w:r>
      <w:r w:rsidRPr="005662D8">
        <w:rPr>
          <w:rStyle w:val="Enfasicorsivo"/>
          <w:sz w:val="20"/>
          <w:szCs w:val="20"/>
          <w:lang w:val="en-US"/>
        </w:rPr>
        <w:t>Contemporary Security Policy</w:t>
      </w:r>
      <w:r w:rsidRPr="005662D8">
        <w:rPr>
          <w:sz w:val="20"/>
          <w:szCs w:val="20"/>
          <w:lang w:val="en-US"/>
        </w:rPr>
        <w:t xml:space="preserve"> 33 (2): 219–35. </w:t>
      </w:r>
      <w:hyperlink r:id="rId117" w:history="1">
        <w:r w:rsidRPr="005662D8">
          <w:rPr>
            <w:rStyle w:val="Collegamentoipertestuale"/>
            <w:sz w:val="20"/>
            <w:szCs w:val="20"/>
            <w:lang w:val="en-US"/>
          </w:rPr>
          <w:t>https://doi.org/10.1080/13523260.2012.693776</w:t>
        </w:r>
      </w:hyperlink>
      <w:r w:rsidRPr="005662D8">
        <w:rPr>
          <w:sz w:val="20"/>
          <w:szCs w:val="20"/>
          <w:lang w:val="en-US"/>
        </w:rPr>
        <w:t>.</w:t>
      </w:r>
    </w:p>
    <w:p w14:paraId="7DEC378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Crotty, Michael.</w:t>
      </w:r>
      <w:r w:rsidRPr="005662D8">
        <w:rPr>
          <w:sz w:val="20"/>
          <w:szCs w:val="20"/>
          <w:lang w:val="en-US"/>
        </w:rPr>
        <w:t xml:space="preserve"> 2015. </w:t>
      </w:r>
      <w:r w:rsidRPr="005662D8">
        <w:rPr>
          <w:rStyle w:val="Enfasicorsivo"/>
          <w:sz w:val="20"/>
          <w:szCs w:val="20"/>
          <w:lang w:val="en-US"/>
        </w:rPr>
        <w:t>The Foundations of Social Research: Meaning and Perspective in the Research Process.</w:t>
      </w:r>
      <w:r w:rsidRPr="005662D8">
        <w:rPr>
          <w:sz w:val="20"/>
          <w:szCs w:val="20"/>
          <w:lang w:val="en-US"/>
        </w:rPr>
        <w:t xml:space="preserve"> London, United Kingdom: Sage.</w:t>
      </w:r>
    </w:p>
    <w:p w14:paraId="6A1AEDC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Czerewacz, Katarzyna, and Agnieszka Konopelko.</w:t>
      </w:r>
      <w:r w:rsidRPr="005662D8">
        <w:rPr>
          <w:sz w:val="20"/>
          <w:szCs w:val="20"/>
          <w:lang w:val="en-US"/>
        </w:rPr>
        <w:t xml:space="preserve"> 2017. </w:t>
      </w:r>
      <w:r w:rsidRPr="005662D8">
        <w:rPr>
          <w:rStyle w:val="Enfasicorsivo"/>
          <w:sz w:val="20"/>
          <w:szCs w:val="20"/>
          <w:lang w:val="en-US"/>
        </w:rPr>
        <w:t>Regional Integration Processes in the Commonwealth of Independent States: Economic and Political Factors.</w:t>
      </w:r>
      <w:r w:rsidRPr="005662D8">
        <w:rPr>
          <w:sz w:val="20"/>
          <w:szCs w:val="20"/>
          <w:lang w:val="en-US"/>
        </w:rPr>
        <w:t xml:space="preserve"> Cham, Germany: Springer.</w:t>
      </w:r>
    </w:p>
    <w:p w14:paraId="26213D9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Daase, Christopher, Caroline Fehl, Anna Geis, and Georgios Kolliarakis.</w:t>
      </w:r>
      <w:r w:rsidRPr="005662D8">
        <w:rPr>
          <w:sz w:val="20"/>
          <w:szCs w:val="20"/>
          <w:lang w:val="en-US"/>
        </w:rPr>
        <w:t xml:space="preserve"> 2015. </w:t>
      </w:r>
      <w:r w:rsidRPr="005662D8">
        <w:rPr>
          <w:rStyle w:val="Enfasicorsivo"/>
          <w:sz w:val="20"/>
          <w:szCs w:val="20"/>
          <w:lang w:val="en-US"/>
        </w:rPr>
        <w:t>Recognition in International Relations: Rethinking a Political Concept in a Global Context.</w:t>
      </w:r>
      <w:r w:rsidRPr="005662D8">
        <w:rPr>
          <w:sz w:val="20"/>
          <w:szCs w:val="20"/>
          <w:lang w:val="en-US"/>
        </w:rPr>
        <w:t xml:space="preserve"> Houndmills, Basingstoke, Hampshire, United Kingdom: Palgrave Macmillan.</w:t>
      </w:r>
    </w:p>
    <w:p w14:paraId="6445AB1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Danielyan, Emil.</w:t>
      </w:r>
      <w:r w:rsidRPr="005662D8">
        <w:rPr>
          <w:sz w:val="20"/>
          <w:szCs w:val="20"/>
          <w:lang w:val="en-US"/>
        </w:rPr>
        <w:t xml:space="preserve"> 2017. “Russian-Armenian Tycoon Expanding Influence in Armenia.” </w:t>
      </w:r>
      <w:r w:rsidRPr="005662D8">
        <w:rPr>
          <w:rStyle w:val="Enfasicorsivo"/>
          <w:sz w:val="20"/>
          <w:szCs w:val="20"/>
          <w:lang w:val="en-US"/>
        </w:rPr>
        <w:t>Eurasianet.</w:t>
      </w:r>
      <w:r w:rsidRPr="005662D8">
        <w:rPr>
          <w:sz w:val="20"/>
          <w:szCs w:val="20"/>
          <w:lang w:val="en-US"/>
        </w:rPr>
        <w:t xml:space="preserve"> Available at: </w:t>
      </w:r>
      <w:hyperlink r:id="rId118" w:tgtFrame="_new" w:history="1">
        <w:r w:rsidRPr="005662D8">
          <w:rPr>
            <w:rStyle w:val="Collegamentoipertestuale"/>
            <w:sz w:val="20"/>
            <w:szCs w:val="20"/>
            <w:lang w:val="en-US"/>
          </w:rPr>
          <w:t>https://eurasianet.org/russian-armenian-tycoon-expanding-influence-in-armenia</w:t>
        </w:r>
      </w:hyperlink>
      <w:r w:rsidRPr="005662D8">
        <w:rPr>
          <w:sz w:val="20"/>
          <w:szCs w:val="20"/>
          <w:lang w:val="en-US"/>
        </w:rPr>
        <w:t xml:space="preserve"> (accessed on November 19, 2025).</w:t>
      </w:r>
    </w:p>
    <w:p w14:paraId="5FC08EC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Darwich, May.</w:t>
      </w:r>
      <w:r w:rsidRPr="005662D8">
        <w:rPr>
          <w:sz w:val="20"/>
          <w:szCs w:val="20"/>
          <w:lang w:val="en-US"/>
        </w:rPr>
        <w:t xml:space="preserve"> 2016. “The Ontological (In)Security of Similarity: Wahhabism versus Islamism in Saudi Foreign Policy.” </w:t>
      </w:r>
      <w:r w:rsidRPr="005662D8">
        <w:rPr>
          <w:rStyle w:val="Enfasicorsivo"/>
          <w:sz w:val="20"/>
          <w:szCs w:val="20"/>
          <w:lang w:val="en-US"/>
        </w:rPr>
        <w:t>Foreign Policy Analysis</w:t>
      </w:r>
      <w:r w:rsidRPr="005662D8">
        <w:rPr>
          <w:sz w:val="20"/>
          <w:szCs w:val="20"/>
          <w:lang w:val="en-US"/>
        </w:rPr>
        <w:t xml:space="preserve"> 12 (3): 469–88. </w:t>
      </w:r>
      <w:hyperlink r:id="rId119" w:history="1">
        <w:r w:rsidRPr="005662D8">
          <w:rPr>
            <w:rStyle w:val="Collegamentoipertestuale"/>
            <w:sz w:val="20"/>
            <w:szCs w:val="20"/>
            <w:lang w:val="en-US"/>
          </w:rPr>
          <w:t>https://doi.org/10.1093/fpa/orw032</w:t>
        </w:r>
      </w:hyperlink>
      <w:r w:rsidRPr="005662D8">
        <w:rPr>
          <w:sz w:val="20"/>
          <w:szCs w:val="20"/>
          <w:lang w:val="en-US"/>
        </w:rPr>
        <w:t>.</w:t>
      </w:r>
    </w:p>
    <w:p w14:paraId="79316B4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Davidzon, Igor.</w:t>
      </w:r>
      <w:r w:rsidRPr="005662D8">
        <w:rPr>
          <w:sz w:val="20"/>
          <w:szCs w:val="20"/>
          <w:lang w:val="en-US"/>
        </w:rPr>
        <w:t xml:space="preserve"> 2022. </w:t>
      </w:r>
      <w:r w:rsidRPr="005662D8">
        <w:rPr>
          <w:rStyle w:val="Enfasicorsivo"/>
          <w:sz w:val="20"/>
          <w:szCs w:val="20"/>
          <w:lang w:val="en-US"/>
        </w:rPr>
        <w:t>Regional Security Governance in Post-Soviet Eurasia: The History and Effectiveness of the Collective Security Treaty Organization.</w:t>
      </w:r>
      <w:r w:rsidRPr="005662D8">
        <w:rPr>
          <w:sz w:val="20"/>
          <w:szCs w:val="20"/>
          <w:lang w:val="en-US"/>
        </w:rPr>
        <w:t xml:space="preserve"> Cham, Germany: Palgrave Macmillan.</w:t>
      </w:r>
    </w:p>
    <w:p w14:paraId="77EEB6C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De Waal, Thomas.</w:t>
      </w:r>
      <w:r w:rsidRPr="005662D8">
        <w:rPr>
          <w:sz w:val="20"/>
          <w:szCs w:val="20"/>
          <w:lang w:val="en-US"/>
        </w:rPr>
        <w:t xml:space="preserve"> 2013. </w:t>
      </w:r>
      <w:r w:rsidRPr="005662D8">
        <w:rPr>
          <w:rStyle w:val="Enfasicorsivo"/>
          <w:sz w:val="20"/>
          <w:szCs w:val="20"/>
          <w:lang w:val="en-US"/>
        </w:rPr>
        <w:t>Black Garden.</w:t>
      </w:r>
      <w:r w:rsidRPr="005662D8">
        <w:rPr>
          <w:sz w:val="20"/>
          <w:szCs w:val="20"/>
          <w:lang w:val="en-US"/>
        </w:rPr>
        <w:t xml:space="preserve"> New York, United States: New York University Press.</w:t>
      </w:r>
    </w:p>
    <w:p w14:paraId="1BE7AF1E"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De Waal, Thomas. 2019. </w:t>
      </w:r>
      <w:r w:rsidRPr="005662D8">
        <w:rPr>
          <w:i/>
          <w:iCs/>
          <w:sz w:val="20"/>
          <w:szCs w:val="20"/>
          <w:lang w:val="en-US"/>
        </w:rPr>
        <w:t>The Caucasus: An Introduction</w:t>
      </w:r>
      <w:r w:rsidRPr="005662D8">
        <w:rPr>
          <w:sz w:val="20"/>
          <w:szCs w:val="20"/>
          <w:lang w:val="en-US"/>
        </w:rPr>
        <w:t xml:space="preserve">. Oxford, United Kingdom: Oxford University Press. </w:t>
      </w:r>
    </w:p>
    <w:p w14:paraId="2235C0E1" w14:textId="77777777" w:rsidR="00E9035E" w:rsidRPr="005662D8" w:rsidRDefault="00E9035E" w:rsidP="005662D8">
      <w:pPr>
        <w:pStyle w:val="NormaleWeb"/>
        <w:spacing w:line="240" w:lineRule="auto"/>
        <w:rPr>
          <w:sz w:val="20"/>
          <w:szCs w:val="20"/>
          <w:lang w:val="en-US"/>
        </w:rPr>
      </w:pPr>
      <w:r w:rsidRPr="005662D8">
        <w:rPr>
          <w:sz w:val="20"/>
          <w:szCs w:val="20"/>
          <w:lang w:val="en-US"/>
        </w:rPr>
        <w:t>De Waal, Thomas. 2021. “The Nagorny Karabakh Conflict in Its Fourth Decade.” CEPS Working Document 02 (2021): 1–21.</w:t>
      </w:r>
    </w:p>
    <w:p w14:paraId="03354D4F" w14:textId="77777777" w:rsidR="00E9035E" w:rsidRPr="00A2019B" w:rsidRDefault="00E9035E" w:rsidP="005662D8">
      <w:pPr>
        <w:pStyle w:val="NormaleWeb"/>
        <w:spacing w:line="240" w:lineRule="auto"/>
        <w:rPr>
          <w:sz w:val="20"/>
          <w:szCs w:val="20"/>
          <w:lang w:val="en-US"/>
        </w:rPr>
      </w:pPr>
      <w:r w:rsidRPr="005662D8">
        <w:rPr>
          <w:sz w:val="20"/>
          <w:szCs w:val="20"/>
          <w:lang w:val="en-US"/>
        </w:rPr>
        <w:t xml:space="preserve">De Waal, Thomas. 2024a. “Armenia and Azerbaijan: A Fragile Peace Process.” </w:t>
      </w:r>
      <w:r w:rsidRPr="005662D8">
        <w:rPr>
          <w:rStyle w:val="Enfasicorsivo"/>
          <w:sz w:val="20"/>
          <w:szCs w:val="20"/>
          <w:lang w:val="en-US"/>
        </w:rPr>
        <w:t>Carnegie Endowment for International Peace</w:t>
      </w:r>
      <w:r w:rsidRPr="005662D8">
        <w:rPr>
          <w:sz w:val="20"/>
          <w:szCs w:val="20"/>
          <w:lang w:val="en-US"/>
        </w:rPr>
        <w:t xml:space="preserve">. </w:t>
      </w:r>
      <w:hyperlink r:id="rId120" w:tgtFrame="_new" w:history="1">
        <w:r w:rsidRPr="00A2019B">
          <w:rPr>
            <w:rStyle w:val="Collegamentoipertestuale"/>
            <w:sz w:val="20"/>
            <w:szCs w:val="20"/>
            <w:lang w:val="en-US"/>
          </w:rPr>
          <w:t>https://carnegieendowment.org/europe/strategic-europe/2024/09/armenia-and-azerbaijan-a-fragile-peace-process?lang=en</w:t>
        </w:r>
      </w:hyperlink>
    </w:p>
    <w:p w14:paraId="2EE393CF" w14:textId="77777777" w:rsidR="00E9035E" w:rsidRPr="00BE6C94" w:rsidRDefault="00E9035E" w:rsidP="005662D8">
      <w:pPr>
        <w:pStyle w:val="NormaleWeb"/>
        <w:spacing w:line="240" w:lineRule="auto"/>
        <w:rPr>
          <w:sz w:val="20"/>
          <w:szCs w:val="20"/>
          <w:lang w:val="en-US"/>
        </w:rPr>
      </w:pPr>
      <w:r w:rsidRPr="005662D8">
        <w:rPr>
          <w:sz w:val="20"/>
          <w:szCs w:val="20"/>
          <w:lang w:val="en-US"/>
        </w:rPr>
        <w:t xml:space="preserve">De Waal, Thomas. 2024b. “Armenia Navigates a Path Away from Russia.” </w:t>
      </w:r>
      <w:r w:rsidRPr="005662D8">
        <w:rPr>
          <w:rStyle w:val="Enfasicorsivo"/>
          <w:sz w:val="20"/>
          <w:szCs w:val="20"/>
          <w:lang w:val="en-US"/>
        </w:rPr>
        <w:t>Carnegie Endowment for International Peace</w:t>
      </w:r>
      <w:r w:rsidRPr="005662D8">
        <w:rPr>
          <w:sz w:val="20"/>
          <w:szCs w:val="20"/>
          <w:lang w:val="en-US"/>
        </w:rPr>
        <w:t xml:space="preserve">. </w:t>
      </w:r>
      <w:hyperlink r:id="rId121" w:tgtFrame="_new" w:history="1">
        <w:r w:rsidRPr="00BE6C94">
          <w:rPr>
            <w:rStyle w:val="Collegamentoipertestuale"/>
            <w:sz w:val="20"/>
            <w:szCs w:val="20"/>
            <w:lang w:val="en-US"/>
          </w:rPr>
          <w:t>https://carnegieendowment.org/research/2024/07/armenia-navigates-a-path-away-from-russia?lang=en</w:t>
        </w:r>
      </w:hyperlink>
    </w:p>
    <w:p w14:paraId="6BAA4A4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Delcour, Laure.</w:t>
      </w:r>
      <w:r w:rsidRPr="005662D8">
        <w:rPr>
          <w:sz w:val="20"/>
          <w:szCs w:val="20"/>
          <w:lang w:val="en-US"/>
        </w:rPr>
        <w:t xml:space="preserve"> 2015. “Between the Eastern Partnership and Eurasian Integration: Explaining Post-Soviet Countries’ Engagement in (Competing) Region-Building Projects.” </w:t>
      </w:r>
      <w:r w:rsidRPr="005662D8">
        <w:rPr>
          <w:rStyle w:val="Enfasicorsivo"/>
          <w:sz w:val="20"/>
          <w:szCs w:val="20"/>
          <w:lang w:val="en-US"/>
        </w:rPr>
        <w:t>Problems of Post-Communism</w:t>
      </w:r>
      <w:r w:rsidRPr="005662D8">
        <w:rPr>
          <w:sz w:val="20"/>
          <w:szCs w:val="20"/>
          <w:lang w:val="en-US"/>
        </w:rPr>
        <w:t xml:space="preserve"> 62 (6): 316–27. https://doi.org/10.1080/10758216.2015.1057075.</w:t>
      </w:r>
    </w:p>
    <w:p w14:paraId="7EF1AEE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Delehanty, Will K., and Brent J. Steele.</w:t>
      </w:r>
      <w:r w:rsidRPr="005662D8">
        <w:rPr>
          <w:sz w:val="20"/>
          <w:szCs w:val="20"/>
          <w:lang w:val="en-US"/>
        </w:rPr>
        <w:t xml:space="preserve"> 2009. “Engaging the Narrative in Ontological (In)Security Theory: Insights from Feminist IR.” </w:t>
      </w:r>
      <w:r w:rsidRPr="005662D8">
        <w:rPr>
          <w:rStyle w:val="Enfasicorsivo"/>
          <w:sz w:val="20"/>
          <w:szCs w:val="20"/>
          <w:lang w:val="en-US"/>
        </w:rPr>
        <w:t>Cambridge Review of International Affairs</w:t>
      </w:r>
      <w:r w:rsidRPr="005662D8">
        <w:rPr>
          <w:sz w:val="20"/>
          <w:szCs w:val="20"/>
          <w:lang w:val="en-US"/>
        </w:rPr>
        <w:t xml:space="preserve"> 22 (3): 523–40. </w:t>
      </w:r>
      <w:hyperlink r:id="rId122" w:tgtFrame="_new" w:history="1">
        <w:r w:rsidRPr="005662D8">
          <w:rPr>
            <w:rStyle w:val="Collegamentoipertestuale"/>
            <w:sz w:val="20"/>
            <w:szCs w:val="20"/>
            <w:lang w:val="en-US"/>
          </w:rPr>
          <w:t>https://doi.org/10.1080/09557570903104024</w:t>
        </w:r>
      </w:hyperlink>
      <w:r w:rsidRPr="005662D8">
        <w:rPr>
          <w:sz w:val="20"/>
          <w:szCs w:val="20"/>
          <w:lang w:val="en-US"/>
        </w:rPr>
        <w:t>.</w:t>
      </w:r>
    </w:p>
    <w:p w14:paraId="18D0F8F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Della Porta, Donatella, and Michael Keating.</w:t>
      </w:r>
      <w:r w:rsidRPr="005662D8">
        <w:rPr>
          <w:sz w:val="20"/>
          <w:szCs w:val="20"/>
          <w:lang w:val="en-US"/>
        </w:rPr>
        <w:t xml:space="preserve"> 2013. </w:t>
      </w:r>
      <w:r w:rsidRPr="005662D8">
        <w:rPr>
          <w:rStyle w:val="Enfasicorsivo"/>
          <w:sz w:val="20"/>
          <w:szCs w:val="20"/>
          <w:lang w:val="en-US"/>
        </w:rPr>
        <w:t>Approaches and Methodologies in the Social Sciences: A Pluralist Perspective.</w:t>
      </w:r>
      <w:r w:rsidRPr="005662D8">
        <w:rPr>
          <w:sz w:val="20"/>
          <w:szCs w:val="20"/>
          <w:lang w:val="en-US"/>
        </w:rPr>
        <w:t xml:space="preserve"> Cambridge, United Kingdom: Cambridge University Press.</w:t>
      </w:r>
    </w:p>
    <w:p w14:paraId="23EB019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Denzin, Norman K., and Yvonna S. Lincoln.</w:t>
      </w:r>
      <w:r w:rsidRPr="005662D8">
        <w:rPr>
          <w:sz w:val="20"/>
          <w:szCs w:val="20"/>
          <w:lang w:val="en-US"/>
        </w:rPr>
        <w:t xml:space="preserve"> 2018. </w:t>
      </w:r>
      <w:r w:rsidRPr="005662D8">
        <w:rPr>
          <w:rStyle w:val="Enfasicorsivo"/>
          <w:sz w:val="20"/>
          <w:szCs w:val="20"/>
          <w:lang w:val="en-US"/>
        </w:rPr>
        <w:t>The Sage Handbook of Qualitative Research.</w:t>
      </w:r>
      <w:r w:rsidRPr="005662D8">
        <w:rPr>
          <w:sz w:val="20"/>
          <w:szCs w:val="20"/>
          <w:lang w:val="en-US"/>
        </w:rPr>
        <w:t xml:space="preserve"> Thousand Oaks, United States: Sage.</w:t>
      </w:r>
    </w:p>
    <w:p w14:paraId="09A958C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Diamond, Larry Jay, Marc F. Plattner, and Christopher Walker.</w:t>
      </w:r>
      <w:r w:rsidRPr="005662D8">
        <w:rPr>
          <w:sz w:val="20"/>
          <w:szCs w:val="20"/>
          <w:lang w:val="en-US"/>
        </w:rPr>
        <w:t xml:space="preserve"> 2016. </w:t>
      </w:r>
      <w:r w:rsidRPr="005662D8">
        <w:rPr>
          <w:rStyle w:val="Enfasicorsivo"/>
          <w:sz w:val="20"/>
          <w:szCs w:val="20"/>
          <w:lang w:val="en-US"/>
        </w:rPr>
        <w:t>Authoritarianism Goes Global: The Challenge to Democracy.</w:t>
      </w:r>
      <w:r w:rsidRPr="005662D8">
        <w:rPr>
          <w:sz w:val="20"/>
          <w:szCs w:val="20"/>
          <w:lang w:val="en-US"/>
        </w:rPr>
        <w:t xml:space="preserve"> Baltimore, United States: Johns Hopkins University Press.</w:t>
      </w:r>
    </w:p>
    <w:p w14:paraId="40C05A82"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Djatlov, Viktor, and Eduard Melkonian.</w:t>
      </w:r>
      <w:r w:rsidRPr="005662D8">
        <w:rPr>
          <w:sz w:val="20"/>
          <w:szCs w:val="20"/>
          <w:lang w:val="en-US"/>
        </w:rPr>
        <w:t xml:space="preserve"> </w:t>
      </w:r>
      <w:r w:rsidRPr="005662D8">
        <w:rPr>
          <w:sz w:val="20"/>
          <w:szCs w:val="20"/>
        </w:rPr>
        <w:t xml:space="preserve">2009. </w:t>
      </w:r>
      <w:r w:rsidRPr="005662D8">
        <w:rPr>
          <w:rStyle w:val="Enfasicorsivo"/>
          <w:sz w:val="20"/>
          <w:szCs w:val="20"/>
        </w:rPr>
        <w:t>Armianskaia Diaspora: Ocherki Sotsiokul’turnoi Tipologii.</w:t>
      </w:r>
      <w:r w:rsidRPr="005662D8">
        <w:rPr>
          <w:sz w:val="20"/>
          <w:szCs w:val="20"/>
        </w:rPr>
        <w:t xml:space="preserve"> Yerevan, Armenia: Caucasus Institute.</w:t>
      </w:r>
    </w:p>
    <w:p w14:paraId="2E5D033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rPr>
        <w:t>Dmitrii Furman.</w:t>
      </w:r>
      <w:r w:rsidRPr="005662D8">
        <w:rPr>
          <w:sz w:val="20"/>
          <w:szCs w:val="20"/>
        </w:rPr>
        <w:t xml:space="preserve"> 1994a. “Nesostoiavshaia Revoliutsiia: Politicheskaia Bor’ba v Azerbaidzhane (1988–1993).” </w:t>
      </w:r>
      <w:r w:rsidRPr="005662D8">
        <w:rPr>
          <w:rStyle w:val="Enfasicorsivo"/>
          <w:sz w:val="20"/>
          <w:szCs w:val="20"/>
          <w:lang w:val="en-US"/>
        </w:rPr>
        <w:t>Druzhba Narodov</w:t>
      </w:r>
      <w:r w:rsidRPr="005662D8">
        <w:rPr>
          <w:sz w:val="20"/>
          <w:szCs w:val="20"/>
          <w:lang w:val="en-US"/>
        </w:rPr>
        <w:t xml:space="preserve"> 4: 155–62.</w:t>
      </w:r>
    </w:p>
    <w:p w14:paraId="41524F7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Donelan, Michael D.</w:t>
      </w:r>
      <w:r w:rsidRPr="005662D8">
        <w:rPr>
          <w:sz w:val="20"/>
          <w:szCs w:val="20"/>
          <w:lang w:val="en-US"/>
        </w:rPr>
        <w:t xml:space="preserve"> 2007. </w:t>
      </w:r>
      <w:r w:rsidRPr="005662D8">
        <w:rPr>
          <w:rStyle w:val="Enfasicorsivo"/>
          <w:sz w:val="20"/>
          <w:szCs w:val="20"/>
          <w:lang w:val="en-US"/>
        </w:rPr>
        <w:t>Honor in Foreign Policy: A History and Discussion.</w:t>
      </w:r>
      <w:r w:rsidRPr="005662D8">
        <w:rPr>
          <w:sz w:val="20"/>
          <w:szCs w:val="20"/>
          <w:lang w:val="en-US"/>
        </w:rPr>
        <w:t xml:space="preserve"> New York, United States: Palgrave Macmillan.</w:t>
      </w:r>
    </w:p>
    <w:p w14:paraId="0DBE8DC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Donnelly, Jack.</w:t>
      </w:r>
      <w:r w:rsidRPr="005662D8">
        <w:rPr>
          <w:sz w:val="20"/>
          <w:szCs w:val="20"/>
          <w:lang w:val="en-US"/>
        </w:rPr>
        <w:t xml:space="preserve"> 2000. </w:t>
      </w:r>
      <w:r w:rsidRPr="005662D8">
        <w:rPr>
          <w:rStyle w:val="Enfasicorsivo"/>
          <w:sz w:val="20"/>
          <w:szCs w:val="20"/>
          <w:lang w:val="en-US"/>
        </w:rPr>
        <w:t>Realism and International Relations.</w:t>
      </w:r>
      <w:r w:rsidRPr="005662D8">
        <w:rPr>
          <w:sz w:val="20"/>
          <w:szCs w:val="20"/>
          <w:lang w:val="en-US"/>
        </w:rPr>
        <w:t xml:space="preserve"> Cambridge, United Kingdom: Cambridge University Press.</w:t>
      </w:r>
    </w:p>
    <w:p w14:paraId="6252AC9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Edenborg, Emil.</w:t>
      </w:r>
      <w:r w:rsidRPr="005662D8">
        <w:rPr>
          <w:sz w:val="20"/>
          <w:szCs w:val="20"/>
          <w:lang w:val="en-US"/>
        </w:rPr>
        <w:t xml:space="preserve"> 2017. “Creativity, Geopolitics and Ontological Security: Satire on Russia and the War in Ukraine.” </w:t>
      </w:r>
      <w:r w:rsidRPr="005662D8">
        <w:rPr>
          <w:rStyle w:val="Enfasicorsivo"/>
          <w:sz w:val="20"/>
          <w:szCs w:val="20"/>
          <w:lang w:val="en-US"/>
        </w:rPr>
        <w:t>Postcolonial Studies</w:t>
      </w:r>
      <w:r w:rsidRPr="005662D8">
        <w:rPr>
          <w:sz w:val="20"/>
          <w:szCs w:val="20"/>
          <w:lang w:val="en-US"/>
        </w:rPr>
        <w:t xml:space="preserve"> 20 (3): 294–316. </w:t>
      </w:r>
      <w:hyperlink r:id="rId123" w:history="1">
        <w:r w:rsidRPr="005662D8">
          <w:rPr>
            <w:rStyle w:val="Collegamentoipertestuale"/>
            <w:sz w:val="20"/>
            <w:szCs w:val="20"/>
            <w:lang w:val="en-US"/>
          </w:rPr>
          <w:t>https://doi.org/10.1080/13688790.2017.1378086</w:t>
        </w:r>
      </w:hyperlink>
      <w:r w:rsidRPr="005662D8">
        <w:rPr>
          <w:sz w:val="20"/>
          <w:szCs w:val="20"/>
          <w:lang w:val="en-US"/>
        </w:rPr>
        <w:t>.</w:t>
      </w:r>
    </w:p>
    <w:p w14:paraId="18B402C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Ejdus, Filip.</w:t>
      </w:r>
      <w:r w:rsidRPr="005662D8">
        <w:rPr>
          <w:sz w:val="20"/>
          <w:szCs w:val="20"/>
          <w:lang w:val="en-US"/>
        </w:rPr>
        <w:t xml:space="preserve"> 2017a. “‘Not a Heap of Stones’: Material Environments and Ontological Security in International Relations.” </w:t>
      </w:r>
      <w:r w:rsidRPr="005662D8">
        <w:rPr>
          <w:rStyle w:val="Enfasicorsivo"/>
          <w:sz w:val="20"/>
          <w:szCs w:val="20"/>
          <w:lang w:val="en-US"/>
        </w:rPr>
        <w:t>Cambridge Review of International Affairs</w:t>
      </w:r>
      <w:r w:rsidRPr="005662D8">
        <w:rPr>
          <w:sz w:val="20"/>
          <w:szCs w:val="20"/>
          <w:lang w:val="en-US"/>
        </w:rPr>
        <w:t xml:space="preserve"> 30 (1): 23–43. </w:t>
      </w:r>
      <w:hyperlink r:id="rId124" w:history="1">
        <w:r w:rsidRPr="005662D8">
          <w:rPr>
            <w:rStyle w:val="Collegamentoipertestuale"/>
            <w:sz w:val="20"/>
            <w:szCs w:val="20"/>
            <w:lang w:val="en-US"/>
          </w:rPr>
          <w:t>https://doi.org/10.1080/09557571.2016.1271310</w:t>
        </w:r>
      </w:hyperlink>
      <w:r w:rsidRPr="005662D8">
        <w:rPr>
          <w:sz w:val="20"/>
          <w:szCs w:val="20"/>
          <w:lang w:val="en-US"/>
        </w:rPr>
        <w:t>.</w:t>
      </w:r>
    </w:p>
    <w:p w14:paraId="4CDAA784"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Ejdus, Filip. 2020. </w:t>
      </w:r>
      <w:r w:rsidRPr="005662D8">
        <w:rPr>
          <w:rStyle w:val="Enfasicorsivo"/>
          <w:sz w:val="20"/>
          <w:szCs w:val="20"/>
          <w:lang w:val="en-US"/>
        </w:rPr>
        <w:t>Crisis and Ontological Insecurity: Serbia’s Anxiety over Kosovo’s Secession</w:t>
      </w:r>
      <w:r w:rsidRPr="005662D8">
        <w:rPr>
          <w:sz w:val="20"/>
          <w:szCs w:val="20"/>
          <w:lang w:val="en-US"/>
        </w:rPr>
        <w:t>. Cham, Germany: Palgrave Macmillan.</w:t>
      </w:r>
    </w:p>
    <w:p w14:paraId="7B59410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Etkind, Aleksandr.</w:t>
      </w:r>
      <w:r w:rsidRPr="005662D8">
        <w:rPr>
          <w:sz w:val="20"/>
          <w:szCs w:val="20"/>
          <w:lang w:val="en-US"/>
        </w:rPr>
        <w:t xml:space="preserve"> 2011. </w:t>
      </w:r>
      <w:r w:rsidRPr="005662D8">
        <w:rPr>
          <w:rStyle w:val="Enfasicorsivo"/>
          <w:sz w:val="20"/>
          <w:szCs w:val="20"/>
          <w:lang w:val="en-US"/>
        </w:rPr>
        <w:t>Internal Colonization: Russia’s Imperial Experience.</w:t>
      </w:r>
      <w:r w:rsidRPr="005662D8">
        <w:rPr>
          <w:sz w:val="20"/>
          <w:szCs w:val="20"/>
          <w:lang w:val="en-US"/>
        </w:rPr>
        <w:t xml:space="preserve"> Cambridge, United Kingdom: Polity Press.</w:t>
      </w:r>
    </w:p>
    <w:p w14:paraId="2A208DB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Farbman, Sam.</w:t>
      </w:r>
      <w:r w:rsidRPr="005662D8">
        <w:rPr>
          <w:sz w:val="20"/>
          <w:szCs w:val="20"/>
          <w:lang w:val="en-US"/>
        </w:rPr>
        <w:t xml:space="preserve"> 2023. “Telegram, ‘Milbloggers’ and the Russian State.” </w:t>
      </w:r>
      <w:r w:rsidRPr="005662D8">
        <w:rPr>
          <w:rStyle w:val="Enfasicorsivo"/>
          <w:sz w:val="20"/>
          <w:szCs w:val="20"/>
          <w:lang w:val="en-US"/>
        </w:rPr>
        <w:t>Survival</w:t>
      </w:r>
      <w:r w:rsidRPr="005662D8">
        <w:rPr>
          <w:sz w:val="20"/>
          <w:szCs w:val="20"/>
          <w:lang w:val="en-US"/>
        </w:rPr>
        <w:t xml:space="preserve"> 65 (3): 107–28. </w:t>
      </w:r>
      <w:hyperlink r:id="rId125" w:history="1">
        <w:r w:rsidRPr="005662D8">
          <w:rPr>
            <w:rStyle w:val="Collegamentoipertestuale"/>
            <w:sz w:val="20"/>
            <w:szCs w:val="20"/>
            <w:lang w:val="en-US"/>
          </w:rPr>
          <w:t>https://doi.org/10.1080/00396338.2023.2218703</w:t>
        </w:r>
      </w:hyperlink>
      <w:r w:rsidRPr="005662D8">
        <w:rPr>
          <w:sz w:val="20"/>
          <w:szCs w:val="20"/>
          <w:lang w:val="en-US"/>
        </w:rPr>
        <w:t>.</w:t>
      </w:r>
    </w:p>
    <w:p w14:paraId="3DE9C68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Fedor, Julie, Markku Kangaspuro, Jussi Lassila, Tatiana Zhurzhenko, and Aleksandr Etkind.</w:t>
      </w:r>
      <w:r w:rsidRPr="005662D8">
        <w:rPr>
          <w:sz w:val="20"/>
          <w:szCs w:val="20"/>
          <w:lang w:val="en-US"/>
        </w:rPr>
        <w:t xml:space="preserve"> 2017. </w:t>
      </w:r>
      <w:r w:rsidRPr="005662D8">
        <w:rPr>
          <w:rStyle w:val="Enfasicorsivo"/>
          <w:sz w:val="20"/>
          <w:szCs w:val="20"/>
          <w:lang w:val="en-US"/>
        </w:rPr>
        <w:t>War and Memory in Russia, Ukraine and Belarus.</w:t>
      </w:r>
      <w:r w:rsidRPr="005662D8">
        <w:rPr>
          <w:sz w:val="20"/>
          <w:szCs w:val="20"/>
          <w:lang w:val="en-US"/>
        </w:rPr>
        <w:t xml:space="preserve"> Cham, Germany: Palgrave Macmillan.</w:t>
      </w:r>
    </w:p>
    <w:p w14:paraId="4C71039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Féron, Élise, and Bahar Baser.</w:t>
      </w:r>
      <w:r w:rsidRPr="005662D8">
        <w:rPr>
          <w:sz w:val="20"/>
          <w:szCs w:val="20"/>
          <w:lang w:val="en-US"/>
        </w:rPr>
        <w:t xml:space="preserve"> 2023. “Pathways to Conflict Transportation and Autonomisation: The Armenian Diaspora and the Conflict in Nagorno-Karabakh.” </w:t>
      </w:r>
      <w:r w:rsidRPr="005662D8">
        <w:rPr>
          <w:rStyle w:val="Enfasicorsivo"/>
          <w:sz w:val="20"/>
          <w:szCs w:val="20"/>
          <w:lang w:val="en-US"/>
        </w:rPr>
        <w:t>Ethnopolitics</w:t>
      </w:r>
      <w:r w:rsidRPr="005662D8">
        <w:rPr>
          <w:sz w:val="20"/>
          <w:szCs w:val="20"/>
          <w:lang w:val="en-US"/>
        </w:rPr>
        <w:t xml:space="preserve"> 22 (4): 384–400. </w:t>
      </w:r>
      <w:hyperlink r:id="rId126" w:history="1">
        <w:r w:rsidRPr="005662D8">
          <w:rPr>
            <w:rStyle w:val="Collegamentoipertestuale"/>
            <w:sz w:val="20"/>
            <w:szCs w:val="20"/>
            <w:lang w:val="en-US"/>
          </w:rPr>
          <w:t>https://doi.org/10.1080/17449057.2023.2199601</w:t>
        </w:r>
      </w:hyperlink>
      <w:r w:rsidRPr="005662D8">
        <w:rPr>
          <w:sz w:val="20"/>
          <w:szCs w:val="20"/>
          <w:lang w:val="en-US"/>
        </w:rPr>
        <w:t>.</w:t>
      </w:r>
    </w:p>
    <w:p w14:paraId="26A40263"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Ferrari, Aldo.</w:t>
      </w:r>
      <w:r w:rsidRPr="005662D8">
        <w:rPr>
          <w:sz w:val="20"/>
          <w:szCs w:val="20"/>
          <w:lang w:val="en-US"/>
        </w:rPr>
        <w:t xml:space="preserve"> 2004. “Nobility and Monarchy in Eighteenth Century Armenia: Preliminary Remarks to a New Study.” </w:t>
      </w:r>
      <w:r w:rsidRPr="005662D8">
        <w:rPr>
          <w:rStyle w:val="Enfasicorsivo"/>
          <w:sz w:val="20"/>
          <w:szCs w:val="20"/>
        </w:rPr>
        <w:t>Iran and the Caucasus</w:t>
      </w:r>
      <w:r w:rsidRPr="005662D8">
        <w:rPr>
          <w:sz w:val="20"/>
          <w:szCs w:val="20"/>
        </w:rPr>
        <w:t xml:space="preserve"> 8 (1): 53–63. https://doi.org/10.1163/1573384042002920.</w:t>
      </w:r>
    </w:p>
    <w:p w14:paraId="7CFC68D4" w14:textId="77777777" w:rsidR="00E9035E" w:rsidRPr="005662D8" w:rsidRDefault="00E9035E" w:rsidP="005662D8">
      <w:pPr>
        <w:pStyle w:val="NormaleWeb"/>
        <w:spacing w:line="240" w:lineRule="auto"/>
        <w:rPr>
          <w:sz w:val="20"/>
          <w:szCs w:val="20"/>
          <w:lang w:val="en-US"/>
        </w:rPr>
      </w:pPr>
      <w:r w:rsidRPr="005662D8">
        <w:rPr>
          <w:sz w:val="20"/>
          <w:szCs w:val="20"/>
        </w:rPr>
        <w:t xml:space="preserve">Ferrari, Aldo. 2005. “La Cultura Russa e Il Caucaso. Il Caso Armeno .” </w:t>
      </w:r>
      <w:r w:rsidRPr="005B04DE">
        <w:rPr>
          <w:i/>
          <w:iCs/>
          <w:sz w:val="20"/>
          <w:szCs w:val="20"/>
        </w:rPr>
        <w:t>Studi Slavistici</w:t>
      </w:r>
      <w:r w:rsidRPr="005B04DE">
        <w:rPr>
          <w:sz w:val="20"/>
          <w:szCs w:val="20"/>
        </w:rPr>
        <w:t xml:space="preserve"> 2: 1–20. </w:t>
      </w:r>
      <w:hyperlink r:id="rId127" w:history="1">
        <w:r w:rsidRPr="005662D8">
          <w:rPr>
            <w:rStyle w:val="Collegamentoipertestuale"/>
            <w:sz w:val="20"/>
            <w:szCs w:val="20"/>
            <w:lang w:val="en-US"/>
          </w:rPr>
          <w:t>https://doi.org/10.13128/Studi_Slavis-2078</w:t>
        </w:r>
      </w:hyperlink>
      <w:r w:rsidRPr="005662D8">
        <w:rPr>
          <w:sz w:val="20"/>
          <w:szCs w:val="20"/>
          <w:lang w:val="en-US"/>
        </w:rPr>
        <w:t>.</w:t>
      </w:r>
    </w:p>
    <w:p w14:paraId="7A4E773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Ferreira, Anezka.</w:t>
      </w:r>
      <w:r w:rsidRPr="005662D8">
        <w:rPr>
          <w:sz w:val="20"/>
          <w:szCs w:val="20"/>
          <w:lang w:val="en-US"/>
        </w:rPr>
        <w:t xml:space="preserve"> 2023. “An Analysis of Russian Foreign Policy in the South Caucasus.” </w:t>
      </w:r>
      <w:r w:rsidRPr="005662D8">
        <w:rPr>
          <w:rStyle w:val="Enfasicorsivo"/>
          <w:sz w:val="20"/>
          <w:szCs w:val="20"/>
          <w:lang w:val="en-US"/>
        </w:rPr>
        <w:t>St Antony’s International Review</w:t>
      </w:r>
      <w:r w:rsidRPr="005662D8">
        <w:rPr>
          <w:sz w:val="20"/>
          <w:szCs w:val="20"/>
          <w:lang w:val="en-US"/>
        </w:rPr>
        <w:t xml:space="preserve"> 18 (1): 191–211.</w:t>
      </w:r>
    </w:p>
    <w:p w14:paraId="2F3F551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Figari Barberis, Cesare, and Leonardo Zanatta.</w:t>
      </w:r>
      <w:r w:rsidRPr="005662D8">
        <w:rPr>
          <w:sz w:val="20"/>
          <w:szCs w:val="20"/>
          <w:lang w:val="en-US"/>
        </w:rPr>
        <w:t xml:space="preserve"> 2023. “Distinguishing Ontological Security from Security of Identity: The Case of Russian ‘Relokanty’ in Tbilisi in the Aftermath of the 2022 Russian Invasion of Ukraine.” </w:t>
      </w:r>
      <w:r w:rsidRPr="005662D8">
        <w:rPr>
          <w:rStyle w:val="Enfasicorsivo"/>
          <w:sz w:val="20"/>
          <w:szCs w:val="20"/>
          <w:lang w:val="en-US"/>
        </w:rPr>
        <w:t>ASIAC – Studies on Central Asia and the Caucasus</w:t>
      </w:r>
      <w:r w:rsidRPr="005662D8">
        <w:rPr>
          <w:sz w:val="20"/>
          <w:szCs w:val="20"/>
          <w:lang w:val="en-US"/>
        </w:rPr>
        <w:t xml:space="preserve"> 1 (December): 161–79. </w:t>
      </w:r>
      <w:hyperlink r:id="rId128" w:history="1">
        <w:r w:rsidRPr="005662D8">
          <w:rPr>
            <w:rStyle w:val="Collegamentoipertestuale"/>
            <w:sz w:val="20"/>
            <w:szCs w:val="20"/>
            <w:lang w:val="en-US"/>
          </w:rPr>
          <w:t>https://doi.org/10.36253/asiac-2414</w:t>
        </w:r>
      </w:hyperlink>
      <w:r w:rsidRPr="005662D8">
        <w:rPr>
          <w:sz w:val="20"/>
          <w:szCs w:val="20"/>
          <w:lang w:val="en-US"/>
        </w:rPr>
        <w:t>.</w:t>
      </w:r>
    </w:p>
    <w:p w14:paraId="2BB109E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Flockhart, Trine.</w:t>
      </w:r>
      <w:r w:rsidRPr="005662D8">
        <w:rPr>
          <w:sz w:val="20"/>
          <w:szCs w:val="20"/>
          <w:lang w:val="en-US"/>
        </w:rPr>
        <w:t xml:space="preserve"> 2016. “The Problem of Change in Constructivist Theory: Ontological Security Seeking and Agent Motivation.” </w:t>
      </w:r>
      <w:r w:rsidRPr="005662D8">
        <w:rPr>
          <w:rStyle w:val="Enfasicorsivo"/>
          <w:sz w:val="20"/>
          <w:szCs w:val="20"/>
          <w:lang w:val="en-US"/>
        </w:rPr>
        <w:t>Review of International Studies</w:t>
      </w:r>
      <w:r w:rsidRPr="005662D8">
        <w:rPr>
          <w:sz w:val="20"/>
          <w:szCs w:val="20"/>
          <w:lang w:val="en-US"/>
        </w:rPr>
        <w:t xml:space="preserve"> 42 (5): 799–820. </w:t>
      </w:r>
      <w:hyperlink r:id="rId129" w:history="1">
        <w:r w:rsidRPr="005662D8">
          <w:rPr>
            <w:rStyle w:val="Collegamentoipertestuale"/>
            <w:sz w:val="20"/>
            <w:szCs w:val="20"/>
            <w:lang w:val="en-US"/>
          </w:rPr>
          <w:t>https://doi.org/10.1017/S026021051600019X</w:t>
        </w:r>
      </w:hyperlink>
      <w:r w:rsidRPr="005662D8">
        <w:rPr>
          <w:sz w:val="20"/>
          <w:szCs w:val="20"/>
          <w:lang w:val="en-US"/>
        </w:rPr>
        <w:t>.</w:t>
      </w:r>
    </w:p>
    <w:p w14:paraId="41D6EBD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Fordham, Benjamin O., and Victor Asal.</w:t>
      </w:r>
      <w:r w:rsidRPr="005662D8">
        <w:rPr>
          <w:sz w:val="20"/>
          <w:szCs w:val="20"/>
          <w:lang w:val="en-US"/>
        </w:rPr>
        <w:t xml:space="preserve"> 2007. “Billiard Balls or Snowflakes? Major Power Prestige and the International Diffusion of Institutions and Practices.” </w:t>
      </w:r>
      <w:r w:rsidRPr="005662D8">
        <w:rPr>
          <w:rStyle w:val="Enfasicorsivo"/>
          <w:sz w:val="20"/>
          <w:szCs w:val="20"/>
          <w:lang w:val="en-US"/>
        </w:rPr>
        <w:t>International Studies Quarterly</w:t>
      </w:r>
      <w:r w:rsidRPr="005662D8">
        <w:rPr>
          <w:sz w:val="20"/>
          <w:szCs w:val="20"/>
          <w:lang w:val="en-US"/>
        </w:rPr>
        <w:t xml:space="preserve"> 51 (1): 31–52. </w:t>
      </w:r>
      <w:hyperlink r:id="rId130" w:history="1">
        <w:r w:rsidRPr="005662D8">
          <w:rPr>
            <w:rStyle w:val="Collegamentoipertestuale"/>
            <w:sz w:val="20"/>
            <w:szCs w:val="20"/>
            <w:lang w:val="en-US"/>
          </w:rPr>
          <w:t>https://doi.org/10.1111/j.1468-2478.2007.00438.x</w:t>
        </w:r>
      </w:hyperlink>
      <w:r w:rsidRPr="005662D8">
        <w:rPr>
          <w:sz w:val="20"/>
          <w:szCs w:val="20"/>
          <w:lang w:val="en-US"/>
        </w:rPr>
        <w:t>.</w:t>
      </w:r>
    </w:p>
    <w:p w14:paraId="6D22850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Forsberg, Tuomas.</w:t>
      </w:r>
      <w:r w:rsidRPr="005662D8">
        <w:rPr>
          <w:sz w:val="20"/>
          <w:szCs w:val="20"/>
          <w:lang w:val="en-US"/>
        </w:rPr>
        <w:t xml:space="preserve"> 2026. “From ‘Ostpolitik’ to ‘Frostpolitik’: Merkel, Putin and German Foreign Policy towards Russia.” </w:t>
      </w:r>
      <w:r w:rsidRPr="005662D8">
        <w:rPr>
          <w:rStyle w:val="Enfasicorsivo"/>
          <w:sz w:val="20"/>
          <w:szCs w:val="20"/>
          <w:lang w:val="en-US"/>
        </w:rPr>
        <w:t>International Affairs</w:t>
      </w:r>
      <w:r w:rsidRPr="005662D8">
        <w:rPr>
          <w:sz w:val="20"/>
          <w:szCs w:val="20"/>
          <w:lang w:val="en-US"/>
        </w:rPr>
        <w:t xml:space="preserve"> 92 (1): 21–42. https://doi.org/10.1111/1468-2346.12505.</w:t>
      </w:r>
    </w:p>
    <w:p w14:paraId="605622E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Foucault, Michel.</w:t>
      </w:r>
      <w:r w:rsidRPr="005662D8">
        <w:rPr>
          <w:sz w:val="20"/>
          <w:szCs w:val="20"/>
          <w:lang w:val="en-US"/>
        </w:rPr>
        <w:t xml:space="preserve"> 1972. </w:t>
      </w:r>
      <w:r w:rsidRPr="005662D8">
        <w:rPr>
          <w:rStyle w:val="Enfasicorsivo"/>
          <w:sz w:val="20"/>
          <w:szCs w:val="20"/>
          <w:lang w:val="en-US"/>
        </w:rPr>
        <w:t>The Archaeology of Knowledge.</w:t>
      </w:r>
      <w:r w:rsidRPr="005662D8">
        <w:rPr>
          <w:sz w:val="20"/>
          <w:szCs w:val="20"/>
          <w:lang w:val="en-US"/>
        </w:rPr>
        <w:t xml:space="preserve"> London, United Kingdom: Tavistock.</w:t>
      </w:r>
    </w:p>
    <w:p w14:paraId="6386BFB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Foucault, Michel. 2003.</w:t>
      </w:r>
      <w:r w:rsidRPr="005662D8">
        <w:rPr>
          <w:sz w:val="20"/>
          <w:szCs w:val="20"/>
          <w:lang w:val="en-US"/>
        </w:rPr>
        <w:t xml:space="preserve"> </w:t>
      </w:r>
      <w:r w:rsidRPr="005662D8">
        <w:rPr>
          <w:rStyle w:val="Enfasicorsivo"/>
          <w:sz w:val="20"/>
          <w:szCs w:val="20"/>
          <w:lang w:val="en-US"/>
        </w:rPr>
        <w:t>“Society Must Be Defended”: Lectures at the Collège de France, 1975–76.</w:t>
      </w:r>
      <w:r w:rsidRPr="005662D8">
        <w:rPr>
          <w:sz w:val="20"/>
          <w:szCs w:val="20"/>
          <w:lang w:val="en-US"/>
        </w:rPr>
        <w:t xml:space="preserve"> New York, United States: Picador.</w:t>
      </w:r>
    </w:p>
    <w:p w14:paraId="4376366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Fraser, Bruce, and William Nolen.</w:t>
      </w:r>
      <w:r w:rsidRPr="005662D8">
        <w:rPr>
          <w:sz w:val="20"/>
          <w:szCs w:val="20"/>
          <w:lang w:val="en-US"/>
        </w:rPr>
        <w:t xml:space="preserve"> 1981. “The Association of Deference with Linguistic Form.” </w:t>
      </w:r>
      <w:r w:rsidRPr="005662D8">
        <w:rPr>
          <w:rStyle w:val="Enfasicorsivo"/>
          <w:sz w:val="20"/>
          <w:szCs w:val="20"/>
          <w:lang w:val="en-US"/>
        </w:rPr>
        <w:t>International Journal of the Sociology of Language</w:t>
      </w:r>
      <w:r w:rsidRPr="005662D8">
        <w:rPr>
          <w:sz w:val="20"/>
          <w:szCs w:val="20"/>
          <w:lang w:val="en-US"/>
        </w:rPr>
        <w:t xml:space="preserve"> 27: 93–109. </w:t>
      </w:r>
      <w:hyperlink r:id="rId131" w:history="1">
        <w:r w:rsidRPr="005662D8">
          <w:rPr>
            <w:rStyle w:val="Collegamentoipertestuale"/>
            <w:sz w:val="20"/>
            <w:szCs w:val="20"/>
            <w:lang w:val="en-US"/>
          </w:rPr>
          <w:t>https://doi.org/10.1515/ijsl.1981.27.93</w:t>
        </w:r>
      </w:hyperlink>
      <w:r w:rsidRPr="005662D8">
        <w:rPr>
          <w:sz w:val="20"/>
          <w:szCs w:val="20"/>
          <w:lang w:val="en-US"/>
        </w:rPr>
        <w:t>.</w:t>
      </w:r>
    </w:p>
    <w:p w14:paraId="29122CF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French, Brigittine M.</w:t>
      </w:r>
      <w:r w:rsidRPr="005662D8">
        <w:rPr>
          <w:sz w:val="20"/>
          <w:szCs w:val="20"/>
          <w:lang w:val="en-US"/>
        </w:rPr>
        <w:t xml:space="preserve"> 2012. “The Semiotics of Collective Memories.” </w:t>
      </w:r>
      <w:r w:rsidRPr="005662D8">
        <w:rPr>
          <w:rStyle w:val="Enfasicorsivo"/>
          <w:sz w:val="20"/>
          <w:szCs w:val="20"/>
          <w:lang w:val="en-US"/>
        </w:rPr>
        <w:t>Annual Review of Anthropology</w:t>
      </w:r>
      <w:r w:rsidRPr="005662D8">
        <w:rPr>
          <w:sz w:val="20"/>
          <w:szCs w:val="20"/>
          <w:lang w:val="en-US"/>
        </w:rPr>
        <w:t xml:space="preserve"> 41 (1): 337–53. </w:t>
      </w:r>
      <w:hyperlink r:id="rId132" w:history="1">
        <w:r w:rsidRPr="005662D8">
          <w:rPr>
            <w:rStyle w:val="Collegamentoipertestuale"/>
            <w:sz w:val="20"/>
            <w:szCs w:val="20"/>
            <w:lang w:val="en-US"/>
          </w:rPr>
          <w:t>https://doi.org/10.1146/annurev-anthro-081309-145936</w:t>
        </w:r>
      </w:hyperlink>
      <w:r w:rsidRPr="005662D8">
        <w:rPr>
          <w:sz w:val="20"/>
          <w:szCs w:val="20"/>
          <w:lang w:val="en-US"/>
        </w:rPr>
        <w:t>.</w:t>
      </w:r>
    </w:p>
    <w:p w14:paraId="3952E86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Friedrichs, Jörg.</w:t>
      </w:r>
      <w:r w:rsidRPr="005662D8">
        <w:rPr>
          <w:sz w:val="20"/>
          <w:szCs w:val="20"/>
          <w:lang w:val="en-US"/>
        </w:rPr>
        <w:t xml:space="preserve"> 2016. “An Intercultural Theory of International Relations: How Self-Worth Underlies Politics among Nations.” </w:t>
      </w:r>
      <w:r w:rsidRPr="005662D8">
        <w:rPr>
          <w:rStyle w:val="Enfasicorsivo"/>
          <w:sz w:val="20"/>
          <w:szCs w:val="20"/>
          <w:lang w:val="en-US"/>
        </w:rPr>
        <w:t>International Theory</w:t>
      </w:r>
      <w:r w:rsidRPr="005662D8">
        <w:rPr>
          <w:sz w:val="20"/>
          <w:szCs w:val="20"/>
          <w:lang w:val="en-US"/>
        </w:rPr>
        <w:t xml:space="preserve"> 8 (1): 63–96. </w:t>
      </w:r>
      <w:hyperlink r:id="rId133" w:history="1">
        <w:r w:rsidRPr="005662D8">
          <w:rPr>
            <w:rStyle w:val="Collegamentoipertestuale"/>
            <w:sz w:val="20"/>
            <w:szCs w:val="20"/>
            <w:lang w:val="en-US"/>
          </w:rPr>
          <w:t>https://doi.org/10.1017/S1752971915000202</w:t>
        </w:r>
      </w:hyperlink>
      <w:r w:rsidRPr="005662D8">
        <w:rPr>
          <w:sz w:val="20"/>
          <w:szCs w:val="20"/>
          <w:lang w:val="en-US"/>
        </w:rPr>
        <w:t>.</w:t>
      </w:r>
    </w:p>
    <w:p w14:paraId="3CA9880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Fukuyama, Francis.</w:t>
      </w:r>
      <w:r w:rsidRPr="005662D8">
        <w:rPr>
          <w:sz w:val="20"/>
          <w:szCs w:val="20"/>
          <w:lang w:val="en-US"/>
        </w:rPr>
        <w:t xml:space="preserve"> 1992. </w:t>
      </w:r>
      <w:r w:rsidRPr="005662D8">
        <w:rPr>
          <w:rStyle w:val="Enfasicorsivo"/>
          <w:sz w:val="20"/>
          <w:szCs w:val="20"/>
          <w:lang w:val="en-US"/>
        </w:rPr>
        <w:t>The End of History and the Last Man.</w:t>
      </w:r>
      <w:r w:rsidRPr="005662D8">
        <w:rPr>
          <w:sz w:val="20"/>
          <w:szCs w:val="20"/>
          <w:lang w:val="en-US"/>
        </w:rPr>
        <w:t xml:space="preserve"> New York, United States: Free Press.</w:t>
      </w:r>
    </w:p>
    <w:p w14:paraId="4ED3AC76" w14:textId="77777777" w:rsidR="00E9035E" w:rsidRPr="005662D8" w:rsidRDefault="00E9035E" w:rsidP="005662D8">
      <w:pPr>
        <w:pStyle w:val="NormaleWeb"/>
        <w:spacing w:line="240" w:lineRule="auto"/>
        <w:rPr>
          <w:sz w:val="20"/>
          <w:szCs w:val="20"/>
          <w:lang w:val="en-US"/>
        </w:rPr>
      </w:pPr>
      <w:r w:rsidRPr="00A2019B">
        <w:rPr>
          <w:rStyle w:val="Enfasigrassetto"/>
          <w:b w:val="0"/>
          <w:sz w:val="20"/>
          <w:szCs w:val="20"/>
        </w:rPr>
        <w:t>Furman, Dmitrii.</w:t>
      </w:r>
      <w:r w:rsidRPr="00A2019B">
        <w:rPr>
          <w:sz w:val="20"/>
          <w:szCs w:val="20"/>
        </w:rPr>
        <w:t xml:space="preserve"> 1994. “Nesostoiavshaia Revoliutsiia: Politicheskaia Bor’ba v Azerbaidzhane (1988–1993).” </w:t>
      </w:r>
      <w:r w:rsidRPr="005662D8">
        <w:rPr>
          <w:rStyle w:val="Enfasicorsivo"/>
          <w:sz w:val="20"/>
          <w:szCs w:val="20"/>
          <w:lang w:val="en-US"/>
        </w:rPr>
        <w:t>Druzhba Narodov</w:t>
      </w:r>
      <w:r w:rsidRPr="005662D8">
        <w:rPr>
          <w:sz w:val="20"/>
          <w:szCs w:val="20"/>
          <w:lang w:val="en-US"/>
        </w:rPr>
        <w:t xml:space="preserve"> 4: 155–62.</w:t>
      </w:r>
    </w:p>
    <w:p w14:paraId="298C0EC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Galstyan, Mihran, Nare Galstyan, and Gayane Hakobyan.</w:t>
      </w:r>
      <w:r w:rsidRPr="005662D8">
        <w:rPr>
          <w:sz w:val="20"/>
          <w:szCs w:val="20"/>
          <w:lang w:val="en-US"/>
        </w:rPr>
        <w:t xml:space="preserve"> 2024. “From Roots to Routes: The Role of Ethnic Networks in the Development of Migrant Communities in Russia.” </w:t>
      </w:r>
      <w:r w:rsidRPr="005662D8">
        <w:rPr>
          <w:rStyle w:val="Enfasicorsivo"/>
          <w:sz w:val="20"/>
          <w:szCs w:val="20"/>
          <w:lang w:val="en-US"/>
        </w:rPr>
        <w:t>Central and Eastern European Migration Review</w:t>
      </w:r>
      <w:r w:rsidRPr="005662D8">
        <w:rPr>
          <w:sz w:val="20"/>
          <w:szCs w:val="20"/>
          <w:lang w:val="en-US"/>
        </w:rPr>
        <w:t xml:space="preserve"> 12 (1): 170–88. </w:t>
      </w:r>
      <w:hyperlink r:id="rId134" w:history="1">
        <w:r w:rsidRPr="005662D8">
          <w:rPr>
            <w:rStyle w:val="Collegamentoipertestuale"/>
            <w:sz w:val="20"/>
            <w:szCs w:val="20"/>
            <w:lang w:val="en-US"/>
          </w:rPr>
          <w:t>https://doi.org/10.54667/ceemr.2024.09</w:t>
        </w:r>
      </w:hyperlink>
      <w:r w:rsidRPr="005662D8">
        <w:rPr>
          <w:sz w:val="20"/>
          <w:szCs w:val="20"/>
          <w:lang w:val="en-US"/>
        </w:rPr>
        <w:t>.</w:t>
      </w:r>
    </w:p>
    <w:p w14:paraId="7D1E941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Gamaghelyan, Phil.</w:t>
      </w:r>
      <w:r w:rsidRPr="005662D8">
        <w:rPr>
          <w:sz w:val="20"/>
          <w:szCs w:val="20"/>
          <w:lang w:val="en-US"/>
        </w:rPr>
        <w:t xml:space="preserve"> 2010. “Rethinking the Nagorno-Karabakh Conflict: Identity, Politics, Scholarship.” </w:t>
      </w:r>
      <w:r w:rsidRPr="005662D8">
        <w:rPr>
          <w:rStyle w:val="Enfasicorsivo"/>
          <w:sz w:val="20"/>
          <w:szCs w:val="20"/>
          <w:lang w:val="en-US"/>
        </w:rPr>
        <w:t>International Negotiation</w:t>
      </w:r>
      <w:r w:rsidRPr="005662D8">
        <w:rPr>
          <w:sz w:val="20"/>
          <w:szCs w:val="20"/>
          <w:lang w:val="en-US"/>
        </w:rPr>
        <w:t xml:space="preserve"> 15 (1): 33–56. </w:t>
      </w:r>
      <w:hyperlink r:id="rId135" w:history="1">
        <w:r w:rsidRPr="005662D8">
          <w:rPr>
            <w:rStyle w:val="Collegamentoipertestuale"/>
            <w:sz w:val="20"/>
            <w:szCs w:val="20"/>
            <w:lang w:val="en-US"/>
          </w:rPr>
          <w:t>https://doi.org/10.1163/157180610X488173</w:t>
        </w:r>
      </w:hyperlink>
      <w:r w:rsidRPr="005662D8">
        <w:rPr>
          <w:sz w:val="20"/>
          <w:szCs w:val="20"/>
          <w:lang w:val="en-US"/>
        </w:rPr>
        <w:t>.</w:t>
      </w:r>
    </w:p>
    <w:p w14:paraId="19244D57" w14:textId="77777777" w:rsidR="00E9035E" w:rsidRPr="005B04DE" w:rsidRDefault="00E9035E" w:rsidP="005662D8">
      <w:pPr>
        <w:pStyle w:val="NormaleWeb"/>
        <w:spacing w:line="240" w:lineRule="auto"/>
        <w:rPr>
          <w:sz w:val="20"/>
          <w:szCs w:val="20"/>
          <w:lang w:val="en-US"/>
        </w:rPr>
      </w:pPr>
      <w:r w:rsidRPr="005662D8">
        <w:rPr>
          <w:rStyle w:val="Enfasigrassetto"/>
          <w:b w:val="0"/>
          <w:sz w:val="20"/>
          <w:szCs w:val="20"/>
          <w:lang w:val="en-US"/>
        </w:rPr>
        <w:t>Gammer, Moshe, and Vera Kaplan.</w:t>
      </w:r>
      <w:r w:rsidRPr="005662D8">
        <w:rPr>
          <w:sz w:val="20"/>
          <w:szCs w:val="20"/>
          <w:lang w:val="en-US"/>
        </w:rPr>
        <w:t xml:space="preserve"> 2014. “Post-Soviet Narratives of the Conquest of the Caucasus.” </w:t>
      </w:r>
      <w:r w:rsidRPr="005B04DE">
        <w:rPr>
          <w:rStyle w:val="Enfasicorsivo"/>
          <w:sz w:val="20"/>
          <w:szCs w:val="20"/>
          <w:lang w:val="en-US"/>
        </w:rPr>
        <w:t>Jahrbücher für Geschichte Osteuropas</w:t>
      </w:r>
      <w:r w:rsidRPr="005B04DE">
        <w:rPr>
          <w:sz w:val="20"/>
          <w:szCs w:val="20"/>
          <w:lang w:val="en-US"/>
        </w:rPr>
        <w:t xml:space="preserve"> 61 (1): 26–46.</w:t>
      </w:r>
    </w:p>
    <w:p w14:paraId="20B7B66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rPr>
        <w:t>Gellwitzki, C. Nicolai, and Anne-Marie Houde.</w:t>
      </w:r>
      <w:r w:rsidRPr="005662D8">
        <w:rPr>
          <w:sz w:val="20"/>
          <w:szCs w:val="20"/>
        </w:rPr>
        <w:t xml:space="preserve"> </w:t>
      </w:r>
      <w:r w:rsidRPr="005662D8">
        <w:rPr>
          <w:sz w:val="20"/>
          <w:szCs w:val="20"/>
          <w:lang w:val="en-US"/>
        </w:rPr>
        <w:t xml:space="preserve">2023. “Narratives, Ontological Security, and Unconscious Phantasy: Germany and the European Myth during the So-called Migration Crisis.” </w:t>
      </w:r>
      <w:r w:rsidRPr="005662D8">
        <w:rPr>
          <w:rStyle w:val="Enfasicorsivo"/>
          <w:sz w:val="20"/>
          <w:szCs w:val="20"/>
          <w:lang w:val="en-US"/>
        </w:rPr>
        <w:t>Political Psychology</w:t>
      </w:r>
      <w:r w:rsidRPr="005662D8">
        <w:rPr>
          <w:sz w:val="20"/>
          <w:szCs w:val="20"/>
          <w:lang w:val="en-US"/>
        </w:rPr>
        <w:t xml:space="preserve"> 44 (2): 435–51. </w:t>
      </w:r>
      <w:hyperlink r:id="rId136" w:history="1">
        <w:r w:rsidRPr="005662D8">
          <w:rPr>
            <w:rStyle w:val="Collegamentoipertestuale"/>
            <w:sz w:val="20"/>
            <w:szCs w:val="20"/>
            <w:lang w:val="en-US"/>
          </w:rPr>
          <w:t>https://doi.org/10.1111/pops.12869</w:t>
        </w:r>
      </w:hyperlink>
      <w:r w:rsidRPr="005662D8">
        <w:rPr>
          <w:sz w:val="20"/>
          <w:szCs w:val="20"/>
          <w:lang w:val="en-US"/>
        </w:rPr>
        <w:t>.</w:t>
      </w:r>
    </w:p>
    <w:p w14:paraId="42DC94C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George, Alexander L., and Andrew Bennett.</w:t>
      </w:r>
      <w:r w:rsidRPr="005662D8">
        <w:rPr>
          <w:sz w:val="20"/>
          <w:szCs w:val="20"/>
          <w:lang w:val="en-US"/>
        </w:rPr>
        <w:t xml:space="preserve"> 2005. </w:t>
      </w:r>
      <w:r w:rsidRPr="005662D8">
        <w:rPr>
          <w:rStyle w:val="Enfasicorsivo"/>
          <w:sz w:val="20"/>
          <w:szCs w:val="20"/>
          <w:lang w:val="en-US"/>
        </w:rPr>
        <w:t>Case Studies and Theory Development in the Social Sciences.</w:t>
      </w:r>
      <w:r w:rsidRPr="005662D8">
        <w:rPr>
          <w:sz w:val="20"/>
          <w:szCs w:val="20"/>
          <w:lang w:val="en-US"/>
        </w:rPr>
        <w:t xml:space="preserve"> Cambridge, United States: MIT Press.</w:t>
      </w:r>
    </w:p>
    <w:p w14:paraId="2344ABE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German, Tracey.</w:t>
      </w:r>
      <w:r w:rsidRPr="005662D8">
        <w:rPr>
          <w:sz w:val="20"/>
          <w:szCs w:val="20"/>
          <w:lang w:val="en-US"/>
        </w:rPr>
        <w:t xml:space="preserve"> 2022. “Russia and the South Caucasus: The China Challenge.” </w:t>
      </w:r>
      <w:r w:rsidRPr="005662D8">
        <w:rPr>
          <w:rStyle w:val="Enfasicorsivo"/>
          <w:sz w:val="20"/>
          <w:szCs w:val="20"/>
          <w:lang w:val="en-US"/>
        </w:rPr>
        <w:t>Europe-Asia Studies</w:t>
      </w:r>
      <w:r w:rsidRPr="005662D8">
        <w:rPr>
          <w:sz w:val="20"/>
          <w:szCs w:val="20"/>
          <w:lang w:val="en-US"/>
        </w:rPr>
        <w:t xml:space="preserve"> 74 (9): 1596–1615. </w:t>
      </w:r>
      <w:hyperlink r:id="rId137" w:history="1">
        <w:r w:rsidRPr="005662D8">
          <w:rPr>
            <w:rStyle w:val="Collegamentoipertestuale"/>
            <w:sz w:val="20"/>
            <w:szCs w:val="20"/>
            <w:lang w:val="en-US"/>
          </w:rPr>
          <w:t>https://doi.org/10.1080/09668136.2022.2071843</w:t>
        </w:r>
      </w:hyperlink>
      <w:r w:rsidRPr="005662D8">
        <w:rPr>
          <w:sz w:val="20"/>
          <w:szCs w:val="20"/>
          <w:lang w:val="en-US"/>
        </w:rPr>
        <w:t>.</w:t>
      </w:r>
    </w:p>
    <w:p w14:paraId="1C8472D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Gerring, John.</w:t>
      </w:r>
      <w:r w:rsidRPr="005662D8">
        <w:rPr>
          <w:sz w:val="20"/>
          <w:szCs w:val="20"/>
          <w:lang w:val="en-US"/>
        </w:rPr>
        <w:t xml:space="preserve"> 2006. “Single-Outcome Studies.” </w:t>
      </w:r>
      <w:r w:rsidRPr="005662D8">
        <w:rPr>
          <w:rStyle w:val="Enfasicorsivo"/>
          <w:sz w:val="20"/>
          <w:szCs w:val="20"/>
          <w:lang w:val="en-US"/>
        </w:rPr>
        <w:t>International Sociology</w:t>
      </w:r>
      <w:r w:rsidRPr="005662D8">
        <w:rPr>
          <w:sz w:val="20"/>
          <w:szCs w:val="20"/>
          <w:lang w:val="en-US"/>
        </w:rPr>
        <w:t xml:space="preserve"> 21 (5): 707–34. </w:t>
      </w:r>
      <w:hyperlink r:id="rId138" w:tgtFrame="_new" w:history="1">
        <w:r w:rsidRPr="005662D8">
          <w:rPr>
            <w:rStyle w:val="Collegamentoipertestuale"/>
            <w:sz w:val="20"/>
            <w:szCs w:val="20"/>
            <w:lang w:val="en-US"/>
          </w:rPr>
          <w:t>https://doi.org/10.1177/0268580906067837</w:t>
        </w:r>
      </w:hyperlink>
      <w:r w:rsidRPr="005662D8">
        <w:rPr>
          <w:sz w:val="20"/>
          <w:szCs w:val="20"/>
          <w:lang w:val="en-US"/>
        </w:rPr>
        <w:t>.</w:t>
      </w:r>
    </w:p>
    <w:p w14:paraId="2035C65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Gerth, Hans, and C. Wright Mills.</w:t>
      </w:r>
      <w:r w:rsidRPr="005662D8">
        <w:rPr>
          <w:sz w:val="20"/>
          <w:szCs w:val="20"/>
          <w:lang w:val="en-US"/>
        </w:rPr>
        <w:t xml:space="preserve"> 2009. </w:t>
      </w:r>
      <w:r w:rsidRPr="005662D8">
        <w:rPr>
          <w:rStyle w:val="Enfasicorsivo"/>
          <w:sz w:val="20"/>
          <w:szCs w:val="20"/>
          <w:lang w:val="en-US"/>
        </w:rPr>
        <w:t>From Max Weber: Essays in Sociology.</w:t>
      </w:r>
      <w:r w:rsidRPr="005662D8">
        <w:rPr>
          <w:sz w:val="20"/>
          <w:szCs w:val="20"/>
          <w:lang w:val="en-US"/>
        </w:rPr>
        <w:t xml:space="preserve"> Milton Park, Abingdon, Oxon, United Kingdom: Routledge.</w:t>
      </w:r>
    </w:p>
    <w:p w14:paraId="4A05FE1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Giddens, Anthony.</w:t>
      </w:r>
      <w:r w:rsidRPr="005662D8">
        <w:rPr>
          <w:sz w:val="20"/>
          <w:szCs w:val="20"/>
          <w:lang w:val="en-US"/>
        </w:rPr>
        <w:t xml:space="preserve"> 1989. </w:t>
      </w:r>
      <w:r w:rsidRPr="005662D8">
        <w:rPr>
          <w:rStyle w:val="Enfasicorsivo"/>
          <w:sz w:val="20"/>
          <w:szCs w:val="20"/>
          <w:lang w:val="en-US"/>
        </w:rPr>
        <w:t>The Constitution of Society: Introduction of the Theory of Structuration.</w:t>
      </w:r>
      <w:r w:rsidRPr="005662D8">
        <w:rPr>
          <w:sz w:val="20"/>
          <w:szCs w:val="20"/>
          <w:lang w:val="en-US"/>
        </w:rPr>
        <w:t xml:space="preserve"> Berkeley, United States: University of California Press.</w:t>
      </w:r>
    </w:p>
    <w:p w14:paraId="62F0E0E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Giddens, Anthony. 1991.</w:t>
      </w:r>
      <w:r w:rsidRPr="005662D8">
        <w:rPr>
          <w:sz w:val="20"/>
          <w:szCs w:val="20"/>
          <w:lang w:val="en-US"/>
        </w:rPr>
        <w:t xml:space="preserve"> </w:t>
      </w:r>
      <w:r w:rsidRPr="005662D8">
        <w:rPr>
          <w:rStyle w:val="Enfasicorsivo"/>
          <w:sz w:val="20"/>
          <w:szCs w:val="20"/>
          <w:lang w:val="en-US"/>
        </w:rPr>
        <w:t>Modernity and Self-Identity: Self and Society in the Late Modern Age.</w:t>
      </w:r>
      <w:r w:rsidRPr="005662D8">
        <w:rPr>
          <w:sz w:val="20"/>
          <w:szCs w:val="20"/>
          <w:lang w:val="en-US"/>
        </w:rPr>
        <w:t xml:space="preserve"> Cambridge, United Kingdom: Polity Press.</w:t>
      </w:r>
    </w:p>
    <w:p w14:paraId="4DF14BD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Gillis, John R.</w:t>
      </w:r>
      <w:r w:rsidRPr="005662D8">
        <w:rPr>
          <w:sz w:val="20"/>
          <w:szCs w:val="20"/>
          <w:lang w:val="en-US"/>
        </w:rPr>
        <w:t xml:space="preserve"> 1994. </w:t>
      </w:r>
      <w:r w:rsidRPr="005662D8">
        <w:rPr>
          <w:rStyle w:val="Enfasicorsivo"/>
          <w:sz w:val="20"/>
          <w:szCs w:val="20"/>
          <w:lang w:val="en-US"/>
        </w:rPr>
        <w:t>Commemorations: The Politics of National Identity.</w:t>
      </w:r>
      <w:r w:rsidRPr="005662D8">
        <w:rPr>
          <w:sz w:val="20"/>
          <w:szCs w:val="20"/>
          <w:lang w:val="en-US"/>
        </w:rPr>
        <w:t xml:space="preserve"> Princeton, United States: Princeton University Press.</w:t>
      </w:r>
    </w:p>
    <w:p w14:paraId="3CF696D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Gilmore, David D.</w:t>
      </w:r>
      <w:r w:rsidRPr="005662D8">
        <w:rPr>
          <w:sz w:val="20"/>
          <w:szCs w:val="20"/>
          <w:lang w:val="en-US"/>
        </w:rPr>
        <w:t xml:space="preserve"> 1987. </w:t>
      </w:r>
      <w:r w:rsidRPr="005662D8">
        <w:rPr>
          <w:rStyle w:val="Enfasicorsivo"/>
          <w:sz w:val="20"/>
          <w:szCs w:val="20"/>
          <w:lang w:val="en-US"/>
        </w:rPr>
        <w:t>Honor and Shame and the Unity of the Mediterranean.</w:t>
      </w:r>
      <w:r w:rsidRPr="005662D8">
        <w:rPr>
          <w:sz w:val="20"/>
          <w:szCs w:val="20"/>
          <w:lang w:val="en-US"/>
        </w:rPr>
        <w:t xml:space="preserve"> Washington, D.C., United States: American Anthropological Association.</w:t>
      </w:r>
    </w:p>
    <w:p w14:paraId="5B04E6D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Goldkuhl, Göran.</w:t>
      </w:r>
      <w:r w:rsidRPr="005662D8">
        <w:rPr>
          <w:sz w:val="20"/>
          <w:szCs w:val="20"/>
          <w:lang w:val="en-US"/>
        </w:rPr>
        <w:t xml:space="preserve"> 2004. “Design Theories in Information Systems: A Need for Multi-Grounding.” </w:t>
      </w:r>
      <w:r w:rsidRPr="005662D8">
        <w:rPr>
          <w:rStyle w:val="Enfasicorsivo"/>
          <w:sz w:val="20"/>
          <w:szCs w:val="20"/>
          <w:lang w:val="en-US"/>
        </w:rPr>
        <w:t>Journal of Information Technology Theory and Application (JITTA)</w:t>
      </w:r>
      <w:r w:rsidRPr="005662D8">
        <w:rPr>
          <w:sz w:val="20"/>
          <w:szCs w:val="20"/>
          <w:lang w:val="en-US"/>
        </w:rPr>
        <w:t xml:space="preserve"> 6 (2): 59–72.</w:t>
      </w:r>
    </w:p>
    <w:p w14:paraId="66184C7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Goldkuhl, Göran.</w:t>
      </w:r>
      <w:r w:rsidRPr="005662D8">
        <w:rPr>
          <w:sz w:val="20"/>
          <w:szCs w:val="20"/>
          <w:lang w:val="en-US"/>
        </w:rPr>
        <w:t xml:space="preserve"> 2012. “Pragmatism vs Interpretivism in Qualitative Information Systems Research.” </w:t>
      </w:r>
      <w:r w:rsidRPr="005662D8">
        <w:rPr>
          <w:rStyle w:val="Enfasicorsivo"/>
          <w:sz w:val="20"/>
          <w:szCs w:val="20"/>
          <w:lang w:val="en-US"/>
        </w:rPr>
        <w:t>European Journal of Information Systems</w:t>
      </w:r>
      <w:r w:rsidRPr="005662D8">
        <w:rPr>
          <w:sz w:val="20"/>
          <w:szCs w:val="20"/>
          <w:lang w:val="en-US"/>
        </w:rPr>
        <w:t xml:space="preserve"> 21 (2): 135–46. </w:t>
      </w:r>
      <w:hyperlink r:id="rId139" w:tgtFrame="_new" w:history="1">
        <w:r w:rsidRPr="005662D8">
          <w:rPr>
            <w:rStyle w:val="Collegamentoipertestuale"/>
            <w:sz w:val="20"/>
            <w:szCs w:val="20"/>
            <w:lang w:val="en-US"/>
          </w:rPr>
          <w:t>https://doi.org/10.1057/ejis.2011.54</w:t>
        </w:r>
      </w:hyperlink>
      <w:r w:rsidRPr="005662D8">
        <w:rPr>
          <w:sz w:val="20"/>
          <w:szCs w:val="20"/>
          <w:lang w:val="en-US"/>
        </w:rPr>
        <w:t>.</w:t>
      </w:r>
    </w:p>
    <w:p w14:paraId="4D3AA8A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Götz, Elias, and Per Ekman.</w:t>
      </w:r>
      <w:r w:rsidRPr="005662D8">
        <w:rPr>
          <w:sz w:val="20"/>
          <w:szCs w:val="20"/>
          <w:lang w:val="en-US"/>
        </w:rPr>
        <w:t xml:space="preserve"> 2024. “Russia’s War against Ukraine: Context, Causes, and Consequences.” </w:t>
      </w:r>
      <w:r w:rsidRPr="005662D8">
        <w:rPr>
          <w:rStyle w:val="Enfasicorsivo"/>
          <w:sz w:val="20"/>
          <w:szCs w:val="20"/>
          <w:lang w:val="en-US"/>
        </w:rPr>
        <w:t>Problems of Post-Communism</w:t>
      </w:r>
      <w:r w:rsidRPr="005662D8">
        <w:rPr>
          <w:sz w:val="20"/>
          <w:szCs w:val="20"/>
          <w:lang w:val="en-US"/>
        </w:rPr>
        <w:t xml:space="preserve"> 71 (3): 193–205. </w:t>
      </w:r>
      <w:hyperlink r:id="rId140" w:history="1">
        <w:r w:rsidRPr="005662D8">
          <w:rPr>
            <w:rStyle w:val="Collegamentoipertestuale"/>
            <w:sz w:val="20"/>
            <w:szCs w:val="20"/>
            <w:lang w:val="en-US"/>
          </w:rPr>
          <w:t>https://doi.org/10.1080/10758216.2024.2343640</w:t>
        </w:r>
      </w:hyperlink>
      <w:r w:rsidRPr="005662D8">
        <w:rPr>
          <w:sz w:val="20"/>
          <w:szCs w:val="20"/>
          <w:lang w:val="en-US"/>
        </w:rPr>
        <w:t>.</w:t>
      </w:r>
    </w:p>
    <w:p w14:paraId="5E6501A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Gray, David E.</w:t>
      </w:r>
      <w:r w:rsidRPr="005662D8">
        <w:rPr>
          <w:sz w:val="20"/>
          <w:szCs w:val="20"/>
          <w:lang w:val="en-US"/>
        </w:rPr>
        <w:t xml:space="preserve"> 2008. </w:t>
      </w:r>
      <w:r w:rsidRPr="005662D8">
        <w:rPr>
          <w:rStyle w:val="Enfasicorsivo"/>
          <w:sz w:val="20"/>
          <w:szCs w:val="20"/>
          <w:lang w:val="en-US"/>
        </w:rPr>
        <w:t>Doing Research in the Real World.</w:t>
      </w:r>
      <w:r w:rsidRPr="005662D8">
        <w:rPr>
          <w:sz w:val="20"/>
          <w:szCs w:val="20"/>
          <w:lang w:val="en-US"/>
        </w:rPr>
        <w:t xml:space="preserve"> Los Angeles, United States: Sage.</w:t>
      </w:r>
    </w:p>
    <w:p w14:paraId="63FE697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Gries, Peter Hays.</w:t>
      </w:r>
      <w:r w:rsidRPr="005662D8">
        <w:rPr>
          <w:sz w:val="20"/>
          <w:szCs w:val="20"/>
          <w:lang w:val="en-US"/>
        </w:rPr>
        <w:t xml:space="preserve"> 1999. </w:t>
      </w:r>
      <w:r w:rsidRPr="005662D8">
        <w:rPr>
          <w:rStyle w:val="Enfasicorsivo"/>
          <w:sz w:val="20"/>
          <w:szCs w:val="20"/>
          <w:lang w:val="en-US"/>
        </w:rPr>
        <w:t>China’s New Nationalism: Pride, Politics, and Diplomacy.</w:t>
      </w:r>
      <w:r w:rsidRPr="005662D8">
        <w:rPr>
          <w:sz w:val="20"/>
          <w:szCs w:val="20"/>
          <w:lang w:val="en-US"/>
        </w:rPr>
        <w:t xml:space="preserve"> Berkeley, United States: University of California Press.</w:t>
      </w:r>
    </w:p>
    <w:p w14:paraId="3220103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Grigas, Agnia.</w:t>
      </w:r>
      <w:r w:rsidRPr="005662D8">
        <w:rPr>
          <w:sz w:val="20"/>
          <w:szCs w:val="20"/>
          <w:lang w:val="en-US"/>
        </w:rPr>
        <w:t xml:space="preserve"> 2016a. </w:t>
      </w:r>
      <w:r w:rsidRPr="005662D8">
        <w:rPr>
          <w:rStyle w:val="Enfasicorsivo"/>
          <w:sz w:val="20"/>
          <w:szCs w:val="20"/>
          <w:lang w:val="en-US"/>
        </w:rPr>
        <w:t>Beyond Crimea: The New Russian Empire.</w:t>
      </w:r>
      <w:r w:rsidRPr="005662D8">
        <w:rPr>
          <w:sz w:val="20"/>
          <w:szCs w:val="20"/>
          <w:lang w:val="en-US"/>
        </w:rPr>
        <w:t xml:space="preserve"> New Haven, United States: Yale University Press.</w:t>
      </w:r>
    </w:p>
    <w:p w14:paraId="7E9D1AC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Grigoryan, Marianna.</w:t>
      </w:r>
      <w:r w:rsidRPr="005662D8">
        <w:rPr>
          <w:sz w:val="20"/>
          <w:szCs w:val="20"/>
          <w:lang w:val="en-US"/>
        </w:rPr>
        <w:t xml:space="preserve"> 2016. “Angered at Arms Sales to Azerbaijan, Armenians Push Away from Russia’s Embrace.” </w:t>
      </w:r>
      <w:r w:rsidRPr="005662D8">
        <w:rPr>
          <w:rStyle w:val="Enfasicorsivo"/>
          <w:sz w:val="20"/>
          <w:szCs w:val="20"/>
          <w:lang w:val="en-US"/>
        </w:rPr>
        <w:t>Eurasianet.</w:t>
      </w:r>
      <w:r w:rsidRPr="005662D8">
        <w:rPr>
          <w:sz w:val="20"/>
          <w:szCs w:val="20"/>
          <w:lang w:val="en-US"/>
        </w:rPr>
        <w:t xml:space="preserve"> Available at: </w:t>
      </w:r>
      <w:hyperlink r:id="rId141" w:tgtFrame="_new" w:history="1">
        <w:r w:rsidRPr="005662D8">
          <w:rPr>
            <w:rStyle w:val="Collegamentoipertestuale"/>
            <w:sz w:val="20"/>
            <w:szCs w:val="20"/>
            <w:lang w:val="en-US"/>
          </w:rPr>
          <w:t>https://eurasianet.org/angered-arms-sales-azerbaijan-armenians-push-away-russias-embrace</w:t>
        </w:r>
      </w:hyperlink>
      <w:r w:rsidRPr="005662D8">
        <w:rPr>
          <w:sz w:val="20"/>
          <w:szCs w:val="20"/>
          <w:lang w:val="en-US"/>
        </w:rPr>
        <w:t xml:space="preserve"> (accessed on November 19, 2025).</w:t>
      </w:r>
    </w:p>
    <w:p w14:paraId="6C1A7DE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Gudkov, Lev.</w:t>
      </w:r>
      <w:r w:rsidRPr="005662D8">
        <w:rPr>
          <w:sz w:val="20"/>
          <w:szCs w:val="20"/>
          <w:lang w:val="en-US"/>
        </w:rPr>
        <w:t xml:space="preserve"> 2005. “The Fetters of Victory: How the War Provides Russia with Its Identity.” </w:t>
      </w:r>
      <w:r w:rsidRPr="005662D8">
        <w:rPr>
          <w:rStyle w:val="Enfasicorsivo"/>
          <w:sz w:val="20"/>
          <w:szCs w:val="20"/>
          <w:lang w:val="en-US"/>
        </w:rPr>
        <w:t>Osteuropa</w:t>
      </w:r>
      <w:r w:rsidRPr="005662D8">
        <w:rPr>
          <w:sz w:val="20"/>
          <w:szCs w:val="20"/>
          <w:lang w:val="en-US"/>
        </w:rPr>
        <w:t xml:space="preserve"> 55 (4): 1–14.</w:t>
      </w:r>
    </w:p>
    <w:p w14:paraId="4F5D90F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Gürer, Cüneyt, and Elena Walczak.</w:t>
      </w:r>
      <w:r w:rsidRPr="005662D8">
        <w:rPr>
          <w:sz w:val="20"/>
          <w:szCs w:val="20"/>
          <w:lang w:val="en-US"/>
        </w:rPr>
        <w:t xml:space="preserve"> 2024. “Democratic Backsliding and Security Governance.” </w:t>
      </w:r>
      <w:r w:rsidRPr="005662D8">
        <w:rPr>
          <w:rStyle w:val="Enfasicorsivo"/>
          <w:sz w:val="20"/>
          <w:szCs w:val="20"/>
          <w:lang w:val="en-US"/>
        </w:rPr>
        <w:t>Connections: The Quarterly Journal</w:t>
      </w:r>
      <w:r w:rsidRPr="005662D8">
        <w:rPr>
          <w:sz w:val="20"/>
          <w:szCs w:val="20"/>
          <w:lang w:val="en-US"/>
        </w:rPr>
        <w:t xml:space="preserve"> 23 (4): 9–31. </w:t>
      </w:r>
      <w:hyperlink r:id="rId142" w:history="1">
        <w:r w:rsidRPr="005662D8">
          <w:rPr>
            <w:rStyle w:val="Collegamentoipertestuale"/>
            <w:sz w:val="20"/>
            <w:szCs w:val="20"/>
            <w:lang w:val="en-US"/>
          </w:rPr>
          <w:t>https://doi.org/10.11610/connections.23.4.01</w:t>
        </w:r>
      </w:hyperlink>
      <w:r w:rsidRPr="005662D8">
        <w:rPr>
          <w:sz w:val="20"/>
          <w:szCs w:val="20"/>
          <w:lang w:val="en-US"/>
        </w:rPr>
        <w:t>.</w:t>
      </w:r>
    </w:p>
    <w:p w14:paraId="5390140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Guroian, Vigen.</w:t>
      </w:r>
      <w:r w:rsidRPr="005662D8">
        <w:rPr>
          <w:sz w:val="20"/>
          <w:szCs w:val="20"/>
          <w:lang w:val="en-US"/>
        </w:rPr>
        <w:t xml:space="preserve"> 1992. “Faith, Church and Nationalism in Armenia.” </w:t>
      </w:r>
      <w:r w:rsidRPr="005662D8">
        <w:rPr>
          <w:rStyle w:val="Enfasicorsivo"/>
          <w:sz w:val="20"/>
          <w:szCs w:val="20"/>
          <w:lang w:val="en-US"/>
        </w:rPr>
        <w:t>Nationalities Papers</w:t>
      </w:r>
      <w:r w:rsidRPr="005662D8">
        <w:rPr>
          <w:sz w:val="20"/>
          <w:szCs w:val="20"/>
          <w:lang w:val="en-US"/>
        </w:rPr>
        <w:t xml:space="preserve"> 20 (1): 31–40. </w:t>
      </w:r>
      <w:hyperlink r:id="rId143" w:history="1">
        <w:r w:rsidRPr="005662D8">
          <w:rPr>
            <w:rStyle w:val="Collegamentoipertestuale"/>
            <w:sz w:val="20"/>
            <w:szCs w:val="20"/>
            <w:lang w:val="en-US"/>
          </w:rPr>
          <w:t>https://doi.org/10.1080/00905999208408220</w:t>
        </w:r>
      </w:hyperlink>
      <w:r w:rsidRPr="005662D8">
        <w:rPr>
          <w:sz w:val="20"/>
          <w:szCs w:val="20"/>
          <w:lang w:val="en-US"/>
        </w:rPr>
        <w:t>.</w:t>
      </w:r>
    </w:p>
    <w:p w14:paraId="595DFDE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Gurr, Ted Robert.</w:t>
      </w:r>
      <w:r w:rsidRPr="005662D8">
        <w:rPr>
          <w:sz w:val="20"/>
          <w:szCs w:val="20"/>
          <w:lang w:val="en-US"/>
        </w:rPr>
        <w:t xml:space="preserve"> 2016. </w:t>
      </w:r>
      <w:r w:rsidRPr="005662D8">
        <w:rPr>
          <w:rStyle w:val="Enfasicorsivo"/>
          <w:sz w:val="20"/>
          <w:szCs w:val="20"/>
          <w:lang w:val="en-US"/>
        </w:rPr>
        <w:t>Why Men Rebel.</w:t>
      </w:r>
      <w:r w:rsidRPr="005662D8">
        <w:rPr>
          <w:sz w:val="20"/>
          <w:szCs w:val="20"/>
          <w:lang w:val="en-US"/>
        </w:rPr>
        <w:t xml:space="preserve"> Abingdon, Oxon, United Kingdom: Routledge.</w:t>
      </w:r>
    </w:p>
    <w:p w14:paraId="05E2763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Gustafsson, Karl, and Nina C. Krickel-Choi.</w:t>
      </w:r>
      <w:r w:rsidRPr="005662D8">
        <w:rPr>
          <w:sz w:val="20"/>
          <w:szCs w:val="20"/>
          <w:lang w:val="en-US"/>
        </w:rPr>
        <w:t xml:space="preserve"> 2020. “Returning to the Roots of Ontological Security: Insights from the Existentialist Anxiety Literature.” </w:t>
      </w:r>
      <w:r w:rsidRPr="005662D8">
        <w:rPr>
          <w:rStyle w:val="Enfasicorsivo"/>
          <w:sz w:val="20"/>
          <w:szCs w:val="20"/>
          <w:lang w:val="en-US"/>
        </w:rPr>
        <w:t>European Journal of International Relations</w:t>
      </w:r>
      <w:r w:rsidRPr="005662D8">
        <w:rPr>
          <w:sz w:val="20"/>
          <w:szCs w:val="20"/>
          <w:lang w:val="en-US"/>
        </w:rPr>
        <w:t xml:space="preserve"> 26 (3): 875–95. </w:t>
      </w:r>
      <w:hyperlink r:id="rId144" w:history="1">
        <w:r w:rsidRPr="005662D8">
          <w:rPr>
            <w:rStyle w:val="Collegamentoipertestuale"/>
            <w:sz w:val="20"/>
            <w:szCs w:val="20"/>
            <w:lang w:val="en-US"/>
          </w:rPr>
          <w:t>https://doi.org/10.1177/1354066120927073</w:t>
        </w:r>
      </w:hyperlink>
      <w:r w:rsidRPr="005662D8">
        <w:rPr>
          <w:sz w:val="20"/>
          <w:szCs w:val="20"/>
          <w:lang w:val="en-US"/>
        </w:rPr>
        <w:t>.</w:t>
      </w:r>
    </w:p>
    <w:p w14:paraId="5BDCDF2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Gustafsson, Karl, and Todd H. Hall.</w:t>
      </w:r>
      <w:r w:rsidRPr="005662D8">
        <w:rPr>
          <w:sz w:val="20"/>
          <w:szCs w:val="20"/>
          <w:lang w:val="en-US"/>
        </w:rPr>
        <w:t xml:space="preserve"> 2021a. “The Politics of Emotions in International Relations: Who Gets to Feel What, Whose Emotions Matter, and the ‘History Problem’ in Sino-Japanese Relations.” </w:t>
      </w:r>
      <w:r w:rsidRPr="005662D8">
        <w:rPr>
          <w:rStyle w:val="Enfasicorsivo"/>
          <w:sz w:val="20"/>
          <w:szCs w:val="20"/>
          <w:lang w:val="en-US"/>
        </w:rPr>
        <w:t>International Studies Quarterly</w:t>
      </w:r>
      <w:r w:rsidRPr="005662D8">
        <w:rPr>
          <w:sz w:val="20"/>
          <w:szCs w:val="20"/>
          <w:lang w:val="en-US"/>
        </w:rPr>
        <w:t xml:space="preserve"> 65 (4): 973–84. </w:t>
      </w:r>
      <w:hyperlink r:id="rId145" w:tgtFrame="_new" w:history="1">
        <w:r w:rsidRPr="005662D8">
          <w:rPr>
            <w:rStyle w:val="Collegamentoipertestuale"/>
            <w:sz w:val="20"/>
            <w:szCs w:val="20"/>
            <w:lang w:val="en-US"/>
          </w:rPr>
          <w:t>https://doi.org/10.1093/isq/sqab071</w:t>
        </w:r>
      </w:hyperlink>
      <w:r w:rsidRPr="005662D8">
        <w:rPr>
          <w:sz w:val="20"/>
          <w:szCs w:val="20"/>
          <w:lang w:val="en-US"/>
        </w:rPr>
        <w:t>.</w:t>
      </w:r>
    </w:p>
    <w:p w14:paraId="436A0BED"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Gustafsson, Karl, and Todd Hall. 2021. “The Politics of Emotions in International Relations: Who Gets to Feel What, Whose Emotions Matter, and the ‘History Problem’ in Sino-Japanese Relations.” </w:t>
      </w:r>
      <w:r w:rsidRPr="005662D8">
        <w:rPr>
          <w:rStyle w:val="Enfasicorsivo"/>
          <w:sz w:val="20"/>
          <w:szCs w:val="20"/>
          <w:lang w:val="en-US"/>
        </w:rPr>
        <w:t>International Studies Quarterly</w:t>
      </w:r>
      <w:r w:rsidRPr="005662D8">
        <w:rPr>
          <w:sz w:val="20"/>
          <w:szCs w:val="20"/>
          <w:lang w:val="en-US"/>
        </w:rPr>
        <w:t xml:space="preserve"> 65 (4): 973–984. </w:t>
      </w:r>
      <w:hyperlink r:id="rId146" w:tgtFrame="_new" w:history="1">
        <w:r w:rsidRPr="005662D8">
          <w:rPr>
            <w:rStyle w:val="Collegamentoipertestuale"/>
            <w:sz w:val="20"/>
            <w:szCs w:val="20"/>
            <w:lang w:val="en-US"/>
          </w:rPr>
          <w:t>https://doi.org/10.1093/isq/sqab071</w:t>
        </w:r>
      </w:hyperlink>
    </w:p>
    <w:p w14:paraId="5658496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Gustafsson, Karl.</w:t>
      </w:r>
      <w:r w:rsidRPr="005662D8">
        <w:rPr>
          <w:sz w:val="20"/>
          <w:szCs w:val="20"/>
          <w:lang w:val="en-US"/>
        </w:rPr>
        <w:t xml:space="preserve"> 2014. “Memory Politics and Ontological Security in Sino-Japanese Relations.” </w:t>
      </w:r>
      <w:r w:rsidRPr="005662D8">
        <w:rPr>
          <w:rStyle w:val="Enfasicorsivo"/>
          <w:sz w:val="20"/>
          <w:szCs w:val="20"/>
          <w:lang w:val="en-US"/>
        </w:rPr>
        <w:t>Asian Studies Review</w:t>
      </w:r>
      <w:r w:rsidRPr="005662D8">
        <w:rPr>
          <w:sz w:val="20"/>
          <w:szCs w:val="20"/>
          <w:lang w:val="en-US"/>
        </w:rPr>
        <w:t xml:space="preserve"> 38 (1): 71–86. </w:t>
      </w:r>
      <w:hyperlink r:id="rId147" w:history="1">
        <w:r w:rsidRPr="005662D8">
          <w:rPr>
            <w:rStyle w:val="Collegamentoipertestuale"/>
            <w:sz w:val="20"/>
            <w:szCs w:val="20"/>
            <w:lang w:val="en-US"/>
          </w:rPr>
          <w:t>https://doi.org/10.1080/10357823.2013.852156</w:t>
        </w:r>
      </w:hyperlink>
      <w:r w:rsidRPr="005662D8">
        <w:rPr>
          <w:sz w:val="20"/>
          <w:szCs w:val="20"/>
          <w:lang w:val="en-US"/>
        </w:rPr>
        <w:t>.</w:t>
      </w:r>
    </w:p>
    <w:p w14:paraId="1403F69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Haacke, Jürgen.</w:t>
      </w:r>
      <w:r w:rsidRPr="005662D8">
        <w:rPr>
          <w:sz w:val="20"/>
          <w:szCs w:val="20"/>
          <w:lang w:val="en-US"/>
        </w:rPr>
        <w:t xml:space="preserve"> 2005. “The Frankfurt School and International Relations: On the Centrality of Recognition.” </w:t>
      </w:r>
      <w:r w:rsidRPr="005662D8">
        <w:rPr>
          <w:rStyle w:val="Enfasicorsivo"/>
          <w:sz w:val="20"/>
          <w:szCs w:val="20"/>
          <w:lang w:val="en-US"/>
        </w:rPr>
        <w:t>Review of International Studies</w:t>
      </w:r>
      <w:r w:rsidRPr="005662D8">
        <w:rPr>
          <w:sz w:val="20"/>
          <w:szCs w:val="20"/>
          <w:lang w:val="en-US"/>
        </w:rPr>
        <w:t xml:space="preserve"> 31 (1): 181–94. https://doi.org/10.1017/S0260210505006376.</w:t>
      </w:r>
    </w:p>
    <w:p w14:paraId="7718BFD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Hall, Todd H.</w:t>
      </w:r>
      <w:r w:rsidRPr="005662D8">
        <w:rPr>
          <w:sz w:val="20"/>
          <w:szCs w:val="20"/>
          <w:lang w:val="en-US"/>
        </w:rPr>
        <w:t xml:space="preserve"> 2015. </w:t>
      </w:r>
      <w:r w:rsidRPr="005662D8">
        <w:rPr>
          <w:rStyle w:val="Enfasicorsivo"/>
          <w:sz w:val="20"/>
          <w:szCs w:val="20"/>
          <w:lang w:val="en-US"/>
        </w:rPr>
        <w:t>Emotional Diplomacy: Official Emotion on the International Stage.</w:t>
      </w:r>
      <w:r w:rsidRPr="005662D8">
        <w:rPr>
          <w:sz w:val="20"/>
          <w:szCs w:val="20"/>
          <w:lang w:val="en-US"/>
        </w:rPr>
        <w:t xml:space="preserve"> Ithaca, United States: Cornell University Press.</w:t>
      </w:r>
    </w:p>
    <w:p w14:paraId="0B84C75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Hambardzumyan, Hasmik.</w:t>
      </w:r>
      <w:r w:rsidRPr="005662D8">
        <w:rPr>
          <w:sz w:val="20"/>
          <w:szCs w:val="20"/>
          <w:lang w:val="en-US"/>
        </w:rPr>
        <w:t xml:space="preserve"> 2024. “What Is the ‘Arbat’ Unit and How Did It Receive the Blessing of Archbishop Ezras?” FIP. </w:t>
      </w:r>
      <w:hyperlink r:id="rId148" w:tgtFrame="_new" w:history="1">
        <w:r w:rsidRPr="005662D8">
          <w:rPr>
            <w:rStyle w:val="Collegamentoipertestuale"/>
            <w:sz w:val="20"/>
            <w:szCs w:val="20"/>
            <w:lang w:val="en-US"/>
          </w:rPr>
          <w:t>https://fip.am/en/38896</w:t>
        </w:r>
      </w:hyperlink>
      <w:r w:rsidRPr="005662D8">
        <w:rPr>
          <w:sz w:val="20"/>
          <w:szCs w:val="20"/>
          <w:lang w:val="en-US"/>
        </w:rPr>
        <w:t xml:space="preserve"> (accessed on November 19, 2025).</w:t>
      </w:r>
    </w:p>
    <w:p w14:paraId="7FE12B6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Hansen, Flemming.</w:t>
      </w:r>
      <w:r w:rsidRPr="005662D8">
        <w:rPr>
          <w:sz w:val="20"/>
          <w:szCs w:val="20"/>
          <w:lang w:val="en-US"/>
        </w:rPr>
        <w:t xml:space="preserve"> 2004. “In the Transatlantic Gap: Between the Modern and the Postmodern.” </w:t>
      </w:r>
      <w:r w:rsidRPr="005662D8">
        <w:rPr>
          <w:rStyle w:val="Enfasicorsivo"/>
          <w:sz w:val="20"/>
          <w:szCs w:val="20"/>
          <w:lang w:val="en-US"/>
        </w:rPr>
        <w:t>Russia in Global Affairs,</w:t>
      </w:r>
      <w:r w:rsidRPr="005662D8">
        <w:rPr>
          <w:sz w:val="20"/>
          <w:szCs w:val="20"/>
          <w:lang w:val="en-US"/>
        </w:rPr>
        <w:t xml:space="preserve"> 91–104.</w:t>
      </w:r>
    </w:p>
    <w:p w14:paraId="7C4AE87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Hawkesworth, M. E.</w:t>
      </w:r>
      <w:r w:rsidRPr="005662D8">
        <w:rPr>
          <w:sz w:val="20"/>
          <w:szCs w:val="20"/>
          <w:lang w:val="en-US"/>
        </w:rPr>
        <w:t xml:space="preserve"> 1988. </w:t>
      </w:r>
      <w:r w:rsidRPr="005662D8">
        <w:rPr>
          <w:rStyle w:val="Enfasicorsivo"/>
          <w:sz w:val="20"/>
          <w:szCs w:val="20"/>
          <w:lang w:val="en-US"/>
        </w:rPr>
        <w:t>Theoretical Issues in Policy Analysis.</w:t>
      </w:r>
      <w:r w:rsidRPr="005662D8">
        <w:rPr>
          <w:sz w:val="20"/>
          <w:szCs w:val="20"/>
          <w:lang w:val="en-US"/>
        </w:rPr>
        <w:t xml:space="preserve"> Albany, United States: State University of New York Press.</w:t>
      </w:r>
    </w:p>
    <w:p w14:paraId="60C59D6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Hay, Colin.</w:t>
      </w:r>
      <w:r w:rsidRPr="005662D8">
        <w:rPr>
          <w:sz w:val="20"/>
          <w:szCs w:val="20"/>
          <w:lang w:val="en-US"/>
        </w:rPr>
        <w:t xml:space="preserve"> 2009. “Your Ontology, My Ontic Speculations … on the Importance of Showing One’s (Ontological) Working.” </w:t>
      </w:r>
      <w:r w:rsidRPr="005662D8">
        <w:rPr>
          <w:rStyle w:val="Enfasicorsivo"/>
          <w:sz w:val="20"/>
          <w:szCs w:val="20"/>
          <w:lang w:val="en-US"/>
        </w:rPr>
        <w:t>Political Studies</w:t>
      </w:r>
      <w:r w:rsidRPr="005662D8">
        <w:rPr>
          <w:sz w:val="20"/>
          <w:szCs w:val="20"/>
          <w:lang w:val="en-US"/>
        </w:rPr>
        <w:t xml:space="preserve"> 57 (4): 892–98. </w:t>
      </w:r>
      <w:hyperlink r:id="rId149" w:history="1">
        <w:r w:rsidRPr="005662D8">
          <w:rPr>
            <w:rStyle w:val="Collegamentoipertestuale"/>
            <w:sz w:val="20"/>
            <w:szCs w:val="20"/>
            <w:lang w:val="en-US"/>
          </w:rPr>
          <w:t>https://doi.org/10.1111/j.1467-9248.2009.00819.x</w:t>
        </w:r>
      </w:hyperlink>
      <w:r w:rsidRPr="005662D8">
        <w:rPr>
          <w:sz w:val="20"/>
          <w:szCs w:val="20"/>
          <w:lang w:val="en-US"/>
        </w:rPr>
        <w:t>.</w:t>
      </w:r>
    </w:p>
    <w:p w14:paraId="1834A02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He, Yinan.</w:t>
      </w:r>
      <w:r w:rsidRPr="005662D8">
        <w:rPr>
          <w:sz w:val="20"/>
          <w:szCs w:val="20"/>
          <w:lang w:val="en-US"/>
        </w:rPr>
        <w:t xml:space="preserve"> 2009. </w:t>
      </w:r>
      <w:r w:rsidRPr="005662D8">
        <w:rPr>
          <w:rStyle w:val="Enfasicorsivo"/>
          <w:sz w:val="20"/>
          <w:szCs w:val="20"/>
          <w:lang w:val="en-US"/>
        </w:rPr>
        <w:t>The Search for Reconciliation: Sino-Japanese and German-Polish Relations since World War II.</w:t>
      </w:r>
      <w:r w:rsidRPr="005662D8">
        <w:rPr>
          <w:sz w:val="20"/>
          <w:szCs w:val="20"/>
          <w:lang w:val="en-US"/>
        </w:rPr>
        <w:t xml:space="preserve"> New York, United States: Cambridge University Press.</w:t>
      </w:r>
    </w:p>
    <w:p w14:paraId="35F1F92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Hedenskog, Jakob, Aron Lund, and Johan Norberg.</w:t>
      </w:r>
      <w:r w:rsidRPr="005662D8">
        <w:rPr>
          <w:sz w:val="20"/>
          <w:szCs w:val="20"/>
          <w:lang w:val="en-US"/>
        </w:rPr>
        <w:t xml:space="preserve"> 2020. “The End of the Second Karabakh War: New Realities in the South Caucasus.” </w:t>
      </w:r>
      <w:r w:rsidRPr="005662D8">
        <w:rPr>
          <w:rStyle w:val="Enfasicorsivo"/>
          <w:sz w:val="20"/>
          <w:szCs w:val="20"/>
          <w:lang w:val="en-US"/>
        </w:rPr>
        <w:t>RUFS Briefing</w:t>
      </w:r>
      <w:r w:rsidRPr="005662D8">
        <w:rPr>
          <w:sz w:val="20"/>
          <w:szCs w:val="20"/>
          <w:lang w:val="en-US"/>
        </w:rPr>
        <w:t xml:space="preserve"> 49.</w:t>
      </w:r>
    </w:p>
    <w:p w14:paraId="1EF00AF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Hedenskog, Jakob.</w:t>
      </w:r>
      <w:r w:rsidRPr="005662D8">
        <w:rPr>
          <w:sz w:val="20"/>
          <w:szCs w:val="20"/>
          <w:lang w:val="en-US"/>
        </w:rPr>
        <w:t xml:space="preserve"> 2022. “The EU in the South Caucasus: Making the Most of Current Opportunities.” </w:t>
      </w:r>
      <w:r w:rsidRPr="005662D8">
        <w:rPr>
          <w:rStyle w:val="Enfasicorsivo"/>
          <w:sz w:val="20"/>
          <w:szCs w:val="20"/>
          <w:lang w:val="en-US"/>
        </w:rPr>
        <w:t>SCEEUS</w:t>
      </w:r>
      <w:r w:rsidRPr="005662D8">
        <w:rPr>
          <w:sz w:val="20"/>
          <w:szCs w:val="20"/>
          <w:lang w:val="en-US"/>
        </w:rPr>
        <w:t xml:space="preserve"> 8: 1–9.</w:t>
      </w:r>
    </w:p>
    <w:p w14:paraId="79E239C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Hegel, Georg Wilhelm Friedrich, A. V. Miller, and J. N. Findlay.</w:t>
      </w:r>
      <w:r w:rsidRPr="005662D8">
        <w:rPr>
          <w:sz w:val="20"/>
          <w:szCs w:val="20"/>
          <w:lang w:val="en-US"/>
        </w:rPr>
        <w:t xml:space="preserve"> 2013. </w:t>
      </w:r>
      <w:r w:rsidRPr="005662D8">
        <w:rPr>
          <w:rStyle w:val="Enfasicorsivo"/>
          <w:sz w:val="20"/>
          <w:szCs w:val="20"/>
          <w:lang w:val="en-US"/>
        </w:rPr>
        <w:t>Phenomenology of Spirit.</w:t>
      </w:r>
      <w:r w:rsidRPr="005662D8">
        <w:rPr>
          <w:sz w:val="20"/>
          <w:szCs w:val="20"/>
          <w:lang w:val="en-US"/>
        </w:rPr>
        <w:t xml:space="preserve"> Oxford, United Kingdom: Oxford University Press.</w:t>
      </w:r>
    </w:p>
    <w:p w14:paraId="76CEF45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Hewsen, Robert.</w:t>
      </w:r>
      <w:r w:rsidRPr="005662D8">
        <w:rPr>
          <w:sz w:val="20"/>
          <w:szCs w:val="20"/>
          <w:lang w:val="en-US"/>
        </w:rPr>
        <w:t xml:space="preserve"> 1972. </w:t>
      </w:r>
      <w:r w:rsidRPr="005662D8">
        <w:rPr>
          <w:rStyle w:val="Enfasicorsivo"/>
          <w:sz w:val="20"/>
          <w:szCs w:val="20"/>
          <w:lang w:val="en-US"/>
        </w:rPr>
        <w:t>The Meliks of Eastern Armenia: A Preliminar Study.</w:t>
      </w:r>
      <w:r w:rsidRPr="005662D8">
        <w:rPr>
          <w:sz w:val="20"/>
          <w:szCs w:val="20"/>
          <w:lang w:val="en-US"/>
        </w:rPr>
        <w:t xml:space="preserve"> Paris, France: Klincksieck.</w:t>
      </w:r>
    </w:p>
    <w:p w14:paraId="7C8062E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Heywood, Andrew.</w:t>
      </w:r>
      <w:r w:rsidRPr="005662D8">
        <w:rPr>
          <w:sz w:val="20"/>
          <w:szCs w:val="20"/>
          <w:lang w:val="en-US"/>
        </w:rPr>
        <w:t xml:space="preserve"> 2011a. </w:t>
      </w:r>
      <w:r w:rsidRPr="005662D8">
        <w:rPr>
          <w:rStyle w:val="Enfasicorsivo"/>
          <w:sz w:val="20"/>
          <w:szCs w:val="20"/>
          <w:lang w:val="en-US"/>
        </w:rPr>
        <w:t>Global Politics.</w:t>
      </w:r>
      <w:r w:rsidRPr="005662D8">
        <w:rPr>
          <w:sz w:val="20"/>
          <w:szCs w:val="20"/>
          <w:lang w:val="en-US"/>
        </w:rPr>
        <w:t xml:space="preserve"> Basingstoke, United Kingdom: Palgrave Macmillan.</w:t>
      </w:r>
    </w:p>
    <w:p w14:paraId="645E314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Hinck, Robert S., Sara R. Kitsch, Asya Besova Cooley, and Skye C. Cooley.</w:t>
      </w:r>
      <w:r w:rsidRPr="005662D8">
        <w:rPr>
          <w:sz w:val="20"/>
          <w:szCs w:val="20"/>
          <w:lang w:val="en-US"/>
        </w:rPr>
        <w:t xml:space="preserve"> 2022. </w:t>
      </w:r>
      <w:r w:rsidRPr="005662D8">
        <w:rPr>
          <w:rStyle w:val="Enfasicorsivo"/>
          <w:sz w:val="20"/>
          <w:szCs w:val="20"/>
          <w:lang w:val="en-US"/>
        </w:rPr>
        <w:t>The Future of Global Competition: Ontological Security Narratives in Chinese, Russian, Venezuelan, and Iranian Media.</w:t>
      </w:r>
      <w:r w:rsidRPr="005662D8">
        <w:rPr>
          <w:sz w:val="20"/>
          <w:szCs w:val="20"/>
          <w:lang w:val="en-US"/>
        </w:rPr>
        <w:t xml:space="preserve"> New York, United States: Routledge.</w:t>
      </w:r>
    </w:p>
    <w:p w14:paraId="0C9514B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Hoffmann, David L.</w:t>
      </w:r>
      <w:r w:rsidRPr="005662D8">
        <w:rPr>
          <w:sz w:val="20"/>
          <w:szCs w:val="20"/>
          <w:lang w:val="en-US"/>
        </w:rPr>
        <w:t xml:space="preserve"> 2022. </w:t>
      </w:r>
      <w:r w:rsidRPr="005662D8">
        <w:rPr>
          <w:rStyle w:val="Enfasicorsivo"/>
          <w:sz w:val="20"/>
          <w:szCs w:val="20"/>
          <w:lang w:val="en-US"/>
        </w:rPr>
        <w:t>The Memory of the Second World War in Soviet and Post-Soviet Russia.</w:t>
      </w:r>
      <w:r w:rsidRPr="005662D8">
        <w:rPr>
          <w:sz w:val="20"/>
          <w:szCs w:val="20"/>
          <w:lang w:val="en-US"/>
        </w:rPr>
        <w:t xml:space="preserve"> Abingdon, United Kingdom: Routledge.</w:t>
      </w:r>
    </w:p>
    <w:p w14:paraId="4E4757A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Holquist, Peter.</w:t>
      </w:r>
      <w:r w:rsidRPr="005662D8">
        <w:rPr>
          <w:sz w:val="20"/>
          <w:szCs w:val="20"/>
          <w:lang w:val="en-US"/>
        </w:rPr>
        <w:t xml:space="preserve"> 2011. “The Politics and Practice of the Russian Occupation of Armenia, 1915–February 1917.” In </w:t>
      </w:r>
      <w:r w:rsidRPr="005662D8">
        <w:rPr>
          <w:rStyle w:val="Enfasicorsivo"/>
          <w:sz w:val="20"/>
          <w:szCs w:val="20"/>
          <w:lang w:val="en-US"/>
        </w:rPr>
        <w:t>A Question of Genocide: Armenians and Turks at the End of the Ottoman Empire,</w:t>
      </w:r>
      <w:r w:rsidRPr="005662D8">
        <w:rPr>
          <w:sz w:val="20"/>
          <w:szCs w:val="20"/>
          <w:lang w:val="en-US"/>
        </w:rPr>
        <w:t xml:space="preserve"> 151–74. Oxford, United Kingdom: Oxford University Press.</w:t>
      </w:r>
    </w:p>
    <w:p w14:paraId="21F9EECB"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Honneth, Axel.</w:t>
      </w:r>
      <w:r w:rsidRPr="005662D8">
        <w:rPr>
          <w:sz w:val="20"/>
          <w:szCs w:val="20"/>
          <w:lang w:val="en-US"/>
        </w:rPr>
        <w:t xml:space="preserve"> 2003. “Recognition and Justice.” </w:t>
      </w:r>
      <w:r w:rsidRPr="005662D8">
        <w:rPr>
          <w:rStyle w:val="Enfasicorsivo"/>
          <w:sz w:val="20"/>
          <w:szCs w:val="20"/>
        </w:rPr>
        <w:t>Acta Sociologica</w:t>
      </w:r>
      <w:r w:rsidRPr="005662D8">
        <w:rPr>
          <w:sz w:val="20"/>
          <w:szCs w:val="20"/>
        </w:rPr>
        <w:t xml:space="preserve"> 47 (4): 351–64. </w:t>
      </w:r>
      <w:hyperlink r:id="rId150" w:history="1">
        <w:r w:rsidRPr="005662D8">
          <w:rPr>
            <w:rStyle w:val="Collegamentoipertestuale"/>
            <w:sz w:val="20"/>
            <w:szCs w:val="20"/>
          </w:rPr>
          <w:t>https://doi.org/10.1177/0001699304048668</w:t>
        </w:r>
      </w:hyperlink>
      <w:r w:rsidRPr="005662D8">
        <w:rPr>
          <w:sz w:val="20"/>
          <w:szCs w:val="20"/>
        </w:rPr>
        <w:t>.</w:t>
      </w:r>
    </w:p>
    <w:p w14:paraId="0C4AAEC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Hopf, Ted.</w:t>
      </w:r>
      <w:r w:rsidRPr="005662D8">
        <w:rPr>
          <w:sz w:val="20"/>
          <w:szCs w:val="20"/>
          <w:lang w:val="en-US"/>
        </w:rPr>
        <w:t xml:space="preserve"> 2015. </w:t>
      </w:r>
      <w:r w:rsidRPr="005662D8">
        <w:rPr>
          <w:rStyle w:val="Enfasicorsivo"/>
          <w:sz w:val="20"/>
          <w:szCs w:val="20"/>
          <w:lang w:val="en-US"/>
        </w:rPr>
        <w:t>Social Construction of International Politics: Identities &amp; Foreign Policies, Moscow, 1955 and 1999.</w:t>
      </w:r>
      <w:r w:rsidRPr="005662D8">
        <w:rPr>
          <w:sz w:val="20"/>
          <w:szCs w:val="20"/>
          <w:lang w:val="en-US"/>
        </w:rPr>
        <w:t xml:space="preserve"> Ithaca, United States: Cornell University Press.</w:t>
      </w:r>
    </w:p>
    <w:p w14:paraId="281FB14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Hosking, Geoffrey.</w:t>
      </w:r>
      <w:r w:rsidRPr="005662D8">
        <w:rPr>
          <w:sz w:val="20"/>
          <w:szCs w:val="20"/>
          <w:lang w:val="en-US"/>
        </w:rPr>
        <w:t xml:space="preserve"> 1995. “The Freudian Frontier.” </w:t>
      </w:r>
      <w:r w:rsidRPr="005662D8">
        <w:rPr>
          <w:rStyle w:val="Enfasicorsivo"/>
          <w:sz w:val="20"/>
          <w:szCs w:val="20"/>
          <w:lang w:val="en-US"/>
        </w:rPr>
        <w:t>Times Literary Supplement.</w:t>
      </w:r>
    </w:p>
    <w:p w14:paraId="62E0D85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Hovannisian, Richard G.</w:t>
      </w:r>
      <w:r w:rsidRPr="005662D8">
        <w:rPr>
          <w:sz w:val="20"/>
          <w:szCs w:val="20"/>
          <w:lang w:val="en-US"/>
        </w:rPr>
        <w:t xml:space="preserve"> 1997. </w:t>
      </w:r>
      <w:r w:rsidRPr="005662D8">
        <w:rPr>
          <w:rStyle w:val="Enfasicorsivo"/>
          <w:sz w:val="20"/>
          <w:szCs w:val="20"/>
          <w:lang w:val="en-US"/>
        </w:rPr>
        <w:t>The Armenian People from Ancient to Modern Times.</w:t>
      </w:r>
      <w:r w:rsidRPr="005662D8">
        <w:rPr>
          <w:sz w:val="20"/>
          <w:szCs w:val="20"/>
          <w:lang w:val="en-US"/>
        </w:rPr>
        <w:t xml:space="preserve"> New York, United States: St. Martin’s Press.</w:t>
      </w:r>
    </w:p>
    <w:p w14:paraId="66D882D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Hovhannisyan, Mari.</w:t>
      </w:r>
      <w:r w:rsidRPr="005662D8">
        <w:rPr>
          <w:sz w:val="20"/>
          <w:szCs w:val="20"/>
          <w:lang w:val="en-US"/>
        </w:rPr>
        <w:t xml:space="preserve"> 2012. </w:t>
      </w:r>
      <w:r w:rsidRPr="005662D8">
        <w:rPr>
          <w:rStyle w:val="Enfasicorsivo"/>
          <w:sz w:val="20"/>
          <w:szCs w:val="20"/>
          <w:lang w:val="en-US"/>
        </w:rPr>
        <w:t>Collision of Past and Present: The Collective Memory of the Armenian Genocide and Turkish Denial.</w:t>
      </w:r>
      <w:r w:rsidRPr="005662D8">
        <w:rPr>
          <w:sz w:val="20"/>
          <w:szCs w:val="20"/>
          <w:lang w:val="en-US"/>
        </w:rPr>
        <w:t xml:space="preserve"> Saarbrücken, Germany: LAP Lambert Academic Publishing.</w:t>
      </w:r>
    </w:p>
    <w:p w14:paraId="1B20F21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Hovsepyan, Levon, and Artyom A. Tonoyan.</w:t>
      </w:r>
      <w:r w:rsidRPr="005662D8">
        <w:rPr>
          <w:sz w:val="20"/>
          <w:szCs w:val="20"/>
          <w:lang w:val="en-US"/>
        </w:rPr>
        <w:t xml:space="preserve"> 2024. “From Alliance to ‘Soft Conquest’: The Anatomy of the Turkish-Azerbaijani Military Alliance before and after the 2020 Nagorno-Karabakh War.” </w:t>
      </w:r>
      <w:r w:rsidRPr="005662D8">
        <w:rPr>
          <w:rStyle w:val="Enfasicorsivo"/>
          <w:sz w:val="20"/>
          <w:szCs w:val="20"/>
          <w:lang w:val="en-US"/>
        </w:rPr>
        <w:t>Small Wars &amp; Insurgencies</w:t>
      </w:r>
      <w:r w:rsidRPr="005662D8">
        <w:rPr>
          <w:sz w:val="20"/>
          <w:szCs w:val="20"/>
          <w:lang w:val="en-US"/>
        </w:rPr>
        <w:t xml:space="preserve"> 35 (4): 622–55. </w:t>
      </w:r>
      <w:hyperlink r:id="rId151" w:history="1">
        <w:r w:rsidRPr="005662D8">
          <w:rPr>
            <w:rStyle w:val="Collegamentoipertestuale"/>
            <w:sz w:val="20"/>
            <w:szCs w:val="20"/>
            <w:lang w:val="en-US"/>
          </w:rPr>
          <w:t>https://doi.org/10.1080/09592318.2024.2312957</w:t>
        </w:r>
      </w:hyperlink>
      <w:r w:rsidRPr="005662D8">
        <w:rPr>
          <w:sz w:val="20"/>
          <w:szCs w:val="20"/>
          <w:lang w:val="en-US"/>
        </w:rPr>
        <w:t>.</w:t>
      </w:r>
    </w:p>
    <w:p w14:paraId="59F315D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Huseynov, Rusif, and Gulkhanim Mammadova.</w:t>
      </w:r>
      <w:r w:rsidRPr="005662D8">
        <w:rPr>
          <w:sz w:val="20"/>
          <w:szCs w:val="20"/>
          <w:lang w:val="en-US"/>
        </w:rPr>
        <w:t xml:space="preserve"> 2023. “The Evolution of Armenian Discourse on Karabakh.” Topchubashov Center. </w:t>
      </w:r>
      <w:hyperlink r:id="rId152" w:tgtFrame="_new" w:history="1">
        <w:r w:rsidRPr="005662D8">
          <w:rPr>
            <w:rStyle w:val="Collegamentoipertestuale"/>
            <w:sz w:val="20"/>
            <w:szCs w:val="20"/>
            <w:lang w:val="en-US"/>
          </w:rPr>
          <w:t>https://top-center.org/en/analytics/3515/the-evolution-of-armenian-discourse-on-karabakh</w:t>
        </w:r>
      </w:hyperlink>
      <w:r w:rsidRPr="005662D8">
        <w:rPr>
          <w:sz w:val="20"/>
          <w:szCs w:val="20"/>
          <w:lang w:val="en-US"/>
        </w:rPr>
        <w:t xml:space="preserve"> (accessed on November 19, 2025).</w:t>
      </w:r>
    </w:p>
    <w:p w14:paraId="5D9ADF7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Huseynov, Vasif.</w:t>
      </w:r>
      <w:r w:rsidRPr="005662D8">
        <w:rPr>
          <w:sz w:val="20"/>
          <w:szCs w:val="20"/>
          <w:lang w:val="en-US"/>
        </w:rPr>
        <w:t xml:space="preserve"> 2024. “Azerbaijan Applies for BRICS Membership.” </w:t>
      </w:r>
      <w:r w:rsidRPr="005662D8">
        <w:rPr>
          <w:rStyle w:val="Enfasicorsivo"/>
          <w:sz w:val="20"/>
          <w:szCs w:val="20"/>
          <w:lang w:val="en-US"/>
        </w:rPr>
        <w:t>Jamestown,</w:t>
      </w:r>
      <w:r w:rsidRPr="005662D8">
        <w:rPr>
          <w:sz w:val="20"/>
          <w:szCs w:val="20"/>
          <w:lang w:val="en-US"/>
        </w:rPr>
        <w:t xml:space="preserve"> October 16. </w:t>
      </w:r>
      <w:hyperlink r:id="rId153" w:tgtFrame="_new" w:history="1">
        <w:r w:rsidRPr="005662D8">
          <w:rPr>
            <w:rStyle w:val="Collegamentoipertestuale"/>
            <w:sz w:val="20"/>
            <w:szCs w:val="20"/>
            <w:lang w:val="en-US"/>
          </w:rPr>
          <w:t>https://jamestown.org/program/azerbaijan-applies-for-brics-membership/</w:t>
        </w:r>
      </w:hyperlink>
      <w:r w:rsidRPr="005662D8">
        <w:rPr>
          <w:sz w:val="20"/>
          <w:szCs w:val="20"/>
          <w:lang w:val="en-US"/>
        </w:rPr>
        <w:t xml:space="preserve"> (accessed on November 19, 2025).</w:t>
      </w:r>
    </w:p>
    <w:p w14:paraId="197C58D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Hutchison, Emma, and Roland Bleiker.</w:t>
      </w:r>
      <w:r w:rsidRPr="005662D8">
        <w:rPr>
          <w:sz w:val="20"/>
          <w:szCs w:val="20"/>
          <w:lang w:val="en-US"/>
        </w:rPr>
        <w:t xml:space="preserve"> 2017. “Emotions, Discourse and Power in World Politics.” </w:t>
      </w:r>
      <w:r w:rsidRPr="005662D8">
        <w:rPr>
          <w:rStyle w:val="Enfasicorsivo"/>
          <w:sz w:val="20"/>
          <w:szCs w:val="20"/>
          <w:lang w:val="en-US"/>
        </w:rPr>
        <w:t>International Studies Review</w:t>
      </w:r>
      <w:r w:rsidRPr="005662D8">
        <w:rPr>
          <w:sz w:val="20"/>
          <w:szCs w:val="20"/>
          <w:lang w:val="en-US"/>
        </w:rPr>
        <w:t xml:space="preserve"> 19 (3): 481–508. </w:t>
      </w:r>
      <w:hyperlink r:id="rId154" w:history="1">
        <w:r w:rsidRPr="005662D8">
          <w:rPr>
            <w:rStyle w:val="Collegamentoipertestuale"/>
            <w:sz w:val="20"/>
            <w:szCs w:val="20"/>
            <w:lang w:val="en-US"/>
          </w:rPr>
          <w:t>https://doi.org/10.1093/isr/vix033</w:t>
        </w:r>
      </w:hyperlink>
      <w:r w:rsidRPr="005662D8">
        <w:rPr>
          <w:sz w:val="20"/>
          <w:szCs w:val="20"/>
          <w:lang w:val="en-US"/>
        </w:rPr>
        <w:t>.</w:t>
      </w:r>
    </w:p>
    <w:p w14:paraId="5269CE5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Huysmans, Jef.</w:t>
      </w:r>
      <w:r w:rsidRPr="005662D8">
        <w:rPr>
          <w:sz w:val="20"/>
          <w:szCs w:val="20"/>
          <w:lang w:val="en-US"/>
        </w:rPr>
        <w:t xml:space="preserve"> 1998. “The Question of the Limit: Desecuritisation and the Aesthetics of Horror in Political Realism.” </w:t>
      </w:r>
      <w:r w:rsidRPr="005662D8">
        <w:rPr>
          <w:rStyle w:val="Enfasicorsivo"/>
          <w:sz w:val="20"/>
          <w:szCs w:val="20"/>
          <w:lang w:val="en-US"/>
        </w:rPr>
        <w:t>Millennium: Journal of International Studies</w:t>
      </w:r>
      <w:r w:rsidRPr="005662D8">
        <w:rPr>
          <w:sz w:val="20"/>
          <w:szCs w:val="20"/>
          <w:lang w:val="en-US"/>
        </w:rPr>
        <w:t xml:space="preserve"> 27 (3): 569–89. </w:t>
      </w:r>
      <w:hyperlink r:id="rId155" w:history="1">
        <w:r w:rsidRPr="005662D8">
          <w:rPr>
            <w:rStyle w:val="Collegamentoipertestuale"/>
            <w:sz w:val="20"/>
            <w:szCs w:val="20"/>
            <w:lang w:val="en-US"/>
          </w:rPr>
          <w:t>https://doi.org/10.1177/03058298980270031301</w:t>
        </w:r>
      </w:hyperlink>
      <w:r w:rsidRPr="005662D8">
        <w:rPr>
          <w:sz w:val="20"/>
          <w:szCs w:val="20"/>
          <w:lang w:val="en-US"/>
        </w:rPr>
        <w:t>.</w:t>
      </w:r>
    </w:p>
    <w:p w14:paraId="74713F1E" w14:textId="283A5737"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Huysmans, Jef. 2020.</w:t>
      </w:r>
      <w:r w:rsidRPr="005662D8">
        <w:rPr>
          <w:sz w:val="20"/>
          <w:szCs w:val="20"/>
          <w:lang w:val="en-US"/>
        </w:rPr>
        <w:t xml:space="preserve"> “The European Union and the Securitization of Migration.” </w:t>
      </w:r>
      <w:r w:rsidRPr="005662D8">
        <w:rPr>
          <w:rStyle w:val="Enfasicorsivo"/>
          <w:sz w:val="20"/>
          <w:szCs w:val="20"/>
          <w:lang w:val="en-US"/>
        </w:rPr>
        <w:t>JCMS: Journal of Common Market Studies</w:t>
      </w:r>
      <w:r w:rsidRPr="005662D8">
        <w:rPr>
          <w:sz w:val="20"/>
          <w:szCs w:val="20"/>
          <w:lang w:val="en-US"/>
        </w:rPr>
        <w:t xml:space="preserve"> 38 (5): 751–77. </w:t>
      </w:r>
      <w:hyperlink r:id="rId156" w:history="1">
        <w:r w:rsidR="00CC5EE6" w:rsidRPr="00F3725E">
          <w:rPr>
            <w:rStyle w:val="Collegamentoipertestuale"/>
            <w:sz w:val="20"/>
            <w:szCs w:val="20"/>
            <w:lang w:val="en-US"/>
          </w:rPr>
          <w:t>https://doi:10.1111/1468-5965.00263</w:t>
        </w:r>
      </w:hyperlink>
      <w:r w:rsidRPr="005662D8">
        <w:rPr>
          <w:sz w:val="20"/>
          <w:szCs w:val="20"/>
          <w:lang w:val="en-US"/>
        </w:rPr>
        <w:t>.</w:t>
      </w:r>
    </w:p>
    <w:p w14:paraId="431D294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Huyssen, Andreas.</w:t>
      </w:r>
      <w:r w:rsidRPr="005662D8">
        <w:rPr>
          <w:sz w:val="20"/>
          <w:szCs w:val="20"/>
          <w:lang w:val="en-US"/>
        </w:rPr>
        <w:t xml:space="preserve"> 2009. </w:t>
      </w:r>
      <w:r w:rsidRPr="005662D8">
        <w:rPr>
          <w:rStyle w:val="Enfasicorsivo"/>
          <w:sz w:val="20"/>
          <w:szCs w:val="20"/>
          <w:lang w:val="en-US"/>
        </w:rPr>
        <w:t>Present Pasts: Urban Palimpsests and the Politics of Memory.</w:t>
      </w:r>
      <w:r w:rsidRPr="005662D8">
        <w:rPr>
          <w:sz w:val="20"/>
          <w:szCs w:val="20"/>
          <w:lang w:val="en-US"/>
        </w:rPr>
        <w:t xml:space="preserve"> Stanford, United States: Stanford University Press.</w:t>
      </w:r>
    </w:p>
    <w:p w14:paraId="50C6A0C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Hwang, Juck-Ryoon.</w:t>
      </w:r>
      <w:r w:rsidRPr="005662D8">
        <w:rPr>
          <w:sz w:val="20"/>
          <w:szCs w:val="20"/>
          <w:lang w:val="en-US"/>
        </w:rPr>
        <w:t xml:space="preserve"> 1990. “‘Deference’ versus ‘Politeness’ in Korean Speech.” </w:t>
      </w:r>
      <w:r w:rsidRPr="005662D8">
        <w:rPr>
          <w:rStyle w:val="Enfasicorsivo"/>
          <w:sz w:val="20"/>
          <w:szCs w:val="20"/>
          <w:lang w:val="en-US"/>
        </w:rPr>
        <w:t>International Journal of the Sociology of Language</w:t>
      </w:r>
      <w:r w:rsidRPr="005662D8">
        <w:rPr>
          <w:sz w:val="20"/>
          <w:szCs w:val="20"/>
          <w:lang w:val="en-US"/>
        </w:rPr>
        <w:t xml:space="preserve"> 82: 41–56. </w:t>
      </w:r>
      <w:hyperlink r:id="rId157" w:history="1">
        <w:r w:rsidRPr="005662D8">
          <w:rPr>
            <w:rStyle w:val="Collegamentoipertestuale"/>
            <w:sz w:val="20"/>
            <w:szCs w:val="20"/>
            <w:lang w:val="en-US"/>
          </w:rPr>
          <w:t>https://doi.org/10.1515/ijsl.1990.82.41</w:t>
        </w:r>
      </w:hyperlink>
      <w:r w:rsidRPr="005662D8">
        <w:rPr>
          <w:sz w:val="20"/>
          <w:szCs w:val="20"/>
          <w:lang w:val="en-US"/>
        </w:rPr>
        <w:t>.</w:t>
      </w:r>
    </w:p>
    <w:p w14:paraId="6F12CD6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Hynek, Nik, and Levon Ter-Ghazaryan.</w:t>
      </w:r>
      <w:r w:rsidRPr="005662D8">
        <w:rPr>
          <w:sz w:val="20"/>
          <w:szCs w:val="20"/>
          <w:lang w:val="en-US"/>
        </w:rPr>
        <w:t xml:space="preserve"> 2024. “The Enigma of Nagorno-Karabakh: A ‘Hierarchised Amoebic Composite’ with Armenia.” </w:t>
      </w:r>
      <w:r w:rsidRPr="005662D8">
        <w:rPr>
          <w:rStyle w:val="Enfasicorsivo"/>
          <w:sz w:val="20"/>
          <w:szCs w:val="20"/>
          <w:lang w:val="en-US"/>
        </w:rPr>
        <w:t>Eurasian Geography and Economics,</w:t>
      </w:r>
      <w:r w:rsidRPr="005662D8">
        <w:rPr>
          <w:sz w:val="20"/>
          <w:szCs w:val="20"/>
          <w:lang w:val="en-US"/>
        </w:rPr>
        <w:t xml:space="preserve"> 1–28. </w:t>
      </w:r>
      <w:hyperlink r:id="rId158" w:history="1">
        <w:r w:rsidRPr="005662D8">
          <w:rPr>
            <w:rStyle w:val="Collegamentoipertestuale"/>
            <w:sz w:val="20"/>
            <w:szCs w:val="20"/>
            <w:lang w:val="en-US"/>
          </w:rPr>
          <w:t>https://doi.org/10.1080/15387216.2024.2410721</w:t>
        </w:r>
      </w:hyperlink>
      <w:r w:rsidRPr="005662D8">
        <w:rPr>
          <w:sz w:val="20"/>
          <w:szCs w:val="20"/>
          <w:lang w:val="en-US"/>
        </w:rPr>
        <w:t>.</w:t>
      </w:r>
    </w:p>
    <w:p w14:paraId="3F5EE3D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Innes, Alexandra, and Brent Steele.</w:t>
      </w:r>
      <w:r w:rsidRPr="005662D8">
        <w:rPr>
          <w:sz w:val="20"/>
          <w:szCs w:val="20"/>
          <w:lang w:val="en-US"/>
        </w:rPr>
        <w:t xml:space="preserve"> 2014. “Memory, Trauma and Ontological Security.” In </w:t>
      </w:r>
      <w:r w:rsidRPr="005662D8">
        <w:rPr>
          <w:rStyle w:val="Enfasicorsivo"/>
          <w:sz w:val="20"/>
          <w:szCs w:val="20"/>
          <w:lang w:val="en-US"/>
        </w:rPr>
        <w:t>Memory and Trauma in International Relations</w:t>
      </w:r>
      <w:r w:rsidRPr="005662D8">
        <w:rPr>
          <w:sz w:val="20"/>
          <w:szCs w:val="20"/>
          <w:lang w:val="en-US"/>
        </w:rPr>
        <w:t>, 15–30. Abingdon, United Kingdom: Routledge.</w:t>
      </w:r>
    </w:p>
    <w:p w14:paraId="3656F5C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Isachenko, Daria.</w:t>
      </w:r>
      <w:r w:rsidRPr="005662D8">
        <w:rPr>
          <w:sz w:val="20"/>
          <w:szCs w:val="20"/>
          <w:lang w:val="en-US"/>
        </w:rPr>
        <w:t xml:space="preserve"> 2020. “Turkey-Russia Partnership in the War over Nagorno-Karabakh: Militarised Peacebuilding with Implications for Conflict Transformation.” </w:t>
      </w:r>
      <w:r w:rsidRPr="005662D8">
        <w:rPr>
          <w:rStyle w:val="Enfasicorsivo"/>
          <w:sz w:val="20"/>
          <w:szCs w:val="20"/>
          <w:lang w:val="en-US"/>
        </w:rPr>
        <w:t>SWP Comments</w:t>
      </w:r>
      <w:r w:rsidRPr="005662D8">
        <w:rPr>
          <w:sz w:val="20"/>
          <w:szCs w:val="20"/>
          <w:lang w:val="en-US"/>
        </w:rPr>
        <w:t xml:space="preserve"> 53.</w:t>
      </w:r>
    </w:p>
    <w:p w14:paraId="411FFB9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Ismayilov, Murad, and Norman A. Graham.</w:t>
      </w:r>
      <w:r w:rsidRPr="005662D8">
        <w:rPr>
          <w:sz w:val="20"/>
          <w:szCs w:val="20"/>
          <w:lang w:val="en-US"/>
        </w:rPr>
        <w:t xml:space="preserve"> 2016. </w:t>
      </w:r>
      <w:r w:rsidRPr="005662D8">
        <w:rPr>
          <w:rStyle w:val="Enfasicorsivo"/>
          <w:sz w:val="20"/>
          <w:szCs w:val="20"/>
          <w:lang w:val="en-US"/>
        </w:rPr>
        <w:t>Turkish-Azerbaijani Relations: One Nation—Two States?</w:t>
      </w:r>
      <w:r w:rsidRPr="005662D8">
        <w:rPr>
          <w:sz w:val="20"/>
          <w:szCs w:val="20"/>
          <w:lang w:val="en-US"/>
        </w:rPr>
        <w:t xml:space="preserve"> London, United Kingdom: Routledge/Taylor &amp; Francis Group.</w:t>
      </w:r>
    </w:p>
    <w:p w14:paraId="03035BA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Jackson, Nicole J.</w:t>
      </w:r>
      <w:r w:rsidRPr="005662D8">
        <w:rPr>
          <w:sz w:val="20"/>
          <w:szCs w:val="20"/>
          <w:lang w:val="en-US"/>
        </w:rPr>
        <w:t xml:space="preserve"> 2005. </w:t>
      </w:r>
      <w:r w:rsidRPr="005662D8">
        <w:rPr>
          <w:rStyle w:val="Enfasicorsivo"/>
          <w:sz w:val="20"/>
          <w:szCs w:val="20"/>
          <w:lang w:val="en-US"/>
        </w:rPr>
        <w:t>Russian Foreign Policy and the CIS: Theories, Debates and Actions.</w:t>
      </w:r>
      <w:r w:rsidRPr="005662D8">
        <w:rPr>
          <w:sz w:val="20"/>
          <w:szCs w:val="20"/>
          <w:lang w:val="en-US"/>
        </w:rPr>
        <w:t xml:space="preserve"> London, United Kingdom: Routledge.</w:t>
      </w:r>
    </w:p>
    <w:p w14:paraId="32DEAA1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Jakjimovska, Viktorija.</w:t>
      </w:r>
      <w:r w:rsidRPr="005662D8">
        <w:rPr>
          <w:sz w:val="20"/>
          <w:szCs w:val="20"/>
          <w:lang w:val="en-US"/>
        </w:rPr>
        <w:t xml:space="preserve"> 2014. “A Shift in the Russo-Ottoman Balance of Power in the Black Sea Region: The Treaty of Kuçuk Kainardji of 1774.” </w:t>
      </w:r>
      <w:r w:rsidRPr="005662D8">
        <w:rPr>
          <w:rStyle w:val="Enfasicorsivo"/>
          <w:sz w:val="20"/>
          <w:szCs w:val="20"/>
          <w:lang w:val="en-US"/>
        </w:rPr>
        <w:t>Oxford Public International Law.</w:t>
      </w:r>
      <w:r w:rsidRPr="005662D8">
        <w:rPr>
          <w:sz w:val="20"/>
          <w:szCs w:val="20"/>
          <w:lang w:val="en-US"/>
        </w:rPr>
        <w:t xml:space="preserve"> Available at: </w:t>
      </w:r>
      <w:hyperlink r:id="rId159" w:tgtFrame="_new" w:history="1">
        <w:r w:rsidRPr="005662D8">
          <w:rPr>
            <w:rStyle w:val="Collegamentoipertestuale"/>
            <w:sz w:val="20"/>
            <w:szCs w:val="20"/>
            <w:lang w:val="en-US"/>
          </w:rPr>
          <w:t>https://opil.ouplaw.com/page/616</w:t>
        </w:r>
      </w:hyperlink>
      <w:r w:rsidRPr="005662D8">
        <w:rPr>
          <w:sz w:val="20"/>
          <w:szCs w:val="20"/>
          <w:lang w:val="en-US"/>
        </w:rPr>
        <w:t xml:space="preserve"> (accessed on November 19, 2025).</w:t>
      </w:r>
    </w:p>
    <w:p w14:paraId="2330319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Jakša, Urban.</w:t>
      </w:r>
      <w:r w:rsidRPr="005662D8">
        <w:rPr>
          <w:sz w:val="20"/>
          <w:szCs w:val="20"/>
          <w:lang w:val="en-US"/>
        </w:rPr>
        <w:t xml:space="preserve"> 2017. “Ontological Security of the Post-Soviet de Facto States.” In </w:t>
      </w:r>
      <w:r w:rsidRPr="005662D8">
        <w:rPr>
          <w:rStyle w:val="Enfasicorsivo"/>
          <w:sz w:val="20"/>
          <w:szCs w:val="20"/>
          <w:lang w:val="en-US"/>
        </w:rPr>
        <w:t>Unrecognized States and Secession in the 21st Century</w:t>
      </w:r>
      <w:r w:rsidRPr="005662D8">
        <w:rPr>
          <w:sz w:val="20"/>
          <w:szCs w:val="20"/>
          <w:lang w:val="en-US"/>
        </w:rPr>
        <w:t>, 35–51. Cham, Germany: Springer International.</w:t>
      </w:r>
    </w:p>
    <w:p w14:paraId="0AEA3FC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Joshi, Shashank.</w:t>
      </w:r>
      <w:r w:rsidRPr="005662D8">
        <w:rPr>
          <w:sz w:val="20"/>
          <w:szCs w:val="20"/>
          <w:lang w:val="en-US"/>
        </w:rPr>
        <w:t xml:space="preserve"> 2008. “Honor in International Relations.” </w:t>
      </w:r>
      <w:r w:rsidRPr="005662D8">
        <w:rPr>
          <w:rStyle w:val="Enfasicorsivo"/>
          <w:sz w:val="20"/>
          <w:szCs w:val="20"/>
          <w:lang w:val="en-US"/>
        </w:rPr>
        <w:t>Weatherhead Center for International Affairs</w:t>
      </w:r>
      <w:r w:rsidRPr="005662D8">
        <w:rPr>
          <w:sz w:val="20"/>
          <w:szCs w:val="20"/>
          <w:lang w:val="en-US"/>
        </w:rPr>
        <w:t>, Harvard University, Working Paper 2008-0146, 1–35.</w:t>
      </w:r>
    </w:p>
    <w:p w14:paraId="579E50D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Kagan, Robert.</w:t>
      </w:r>
      <w:r w:rsidRPr="005662D8">
        <w:rPr>
          <w:sz w:val="20"/>
          <w:szCs w:val="20"/>
          <w:lang w:val="en-US"/>
        </w:rPr>
        <w:t xml:space="preserve"> 2009. </w:t>
      </w:r>
      <w:r w:rsidRPr="005662D8">
        <w:rPr>
          <w:rStyle w:val="Enfasicorsivo"/>
          <w:sz w:val="20"/>
          <w:szCs w:val="20"/>
          <w:lang w:val="en-US"/>
        </w:rPr>
        <w:t>The Return of History and the End of Dreams.</w:t>
      </w:r>
      <w:r w:rsidRPr="005662D8">
        <w:rPr>
          <w:sz w:val="20"/>
          <w:szCs w:val="20"/>
          <w:lang w:val="en-US"/>
        </w:rPr>
        <w:t xml:space="preserve"> New York, United States: Vintage.</w:t>
      </w:r>
    </w:p>
    <w:p w14:paraId="6F8F6EB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Kanet, Roger.</w:t>
      </w:r>
      <w:r w:rsidRPr="005662D8">
        <w:rPr>
          <w:sz w:val="20"/>
          <w:szCs w:val="20"/>
          <w:lang w:val="en-US"/>
        </w:rPr>
        <w:t xml:space="preserve"> 2021. </w:t>
      </w:r>
      <w:r w:rsidRPr="005662D8">
        <w:rPr>
          <w:rStyle w:val="Enfasicorsivo"/>
          <w:sz w:val="20"/>
          <w:szCs w:val="20"/>
          <w:lang w:val="en-US"/>
        </w:rPr>
        <w:t>Routledge Handbook of Russian Security.</w:t>
      </w:r>
      <w:r w:rsidRPr="005662D8">
        <w:rPr>
          <w:sz w:val="20"/>
          <w:szCs w:val="20"/>
          <w:lang w:val="en-US"/>
        </w:rPr>
        <w:t xml:space="preserve"> S.l., United States: Routledge.</w:t>
      </w:r>
    </w:p>
    <w:p w14:paraId="6C9747E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Karp, Regina.</w:t>
      </w:r>
      <w:r w:rsidRPr="005662D8">
        <w:rPr>
          <w:sz w:val="20"/>
          <w:szCs w:val="20"/>
          <w:lang w:val="en-US"/>
        </w:rPr>
        <w:t xml:space="preserve"> 2018. “Identity and Anxiety: Germany’s Struggle to Lead.” </w:t>
      </w:r>
      <w:r w:rsidRPr="005662D8">
        <w:rPr>
          <w:rStyle w:val="Enfasicorsivo"/>
          <w:sz w:val="20"/>
          <w:szCs w:val="20"/>
          <w:lang w:val="en-US"/>
        </w:rPr>
        <w:t>European Security</w:t>
      </w:r>
      <w:r w:rsidRPr="005662D8">
        <w:rPr>
          <w:sz w:val="20"/>
          <w:szCs w:val="20"/>
          <w:lang w:val="en-US"/>
        </w:rPr>
        <w:t xml:space="preserve"> 27 (1): 58–81. </w:t>
      </w:r>
      <w:hyperlink r:id="rId160" w:history="1">
        <w:r w:rsidRPr="005662D8">
          <w:rPr>
            <w:rStyle w:val="Collegamentoipertestuale"/>
            <w:sz w:val="20"/>
            <w:szCs w:val="20"/>
            <w:lang w:val="en-US"/>
          </w:rPr>
          <w:t>https://doi.org/10.1080/09662839.2018.1428565</w:t>
        </w:r>
      </w:hyperlink>
      <w:r w:rsidRPr="005662D8">
        <w:rPr>
          <w:sz w:val="20"/>
          <w:szCs w:val="20"/>
          <w:lang w:val="en-US"/>
        </w:rPr>
        <w:t>.</w:t>
      </w:r>
    </w:p>
    <w:p w14:paraId="02AF739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Kazharski, Aliaksei.</w:t>
      </w:r>
      <w:r w:rsidRPr="005662D8">
        <w:rPr>
          <w:sz w:val="20"/>
          <w:szCs w:val="20"/>
          <w:lang w:val="en-US"/>
        </w:rPr>
        <w:t xml:space="preserve"> 2019a. “Civilizations as Ontological Security?” </w:t>
      </w:r>
      <w:r w:rsidRPr="005662D8">
        <w:rPr>
          <w:rStyle w:val="Enfasicorsivo"/>
          <w:sz w:val="20"/>
          <w:szCs w:val="20"/>
          <w:lang w:val="en-US"/>
        </w:rPr>
        <w:t>Problems of Post-Communism</w:t>
      </w:r>
      <w:r w:rsidRPr="005662D8">
        <w:rPr>
          <w:sz w:val="20"/>
          <w:szCs w:val="20"/>
          <w:lang w:val="en-US"/>
        </w:rPr>
        <w:t xml:space="preserve"> 67 (1): 24–36. </w:t>
      </w:r>
      <w:hyperlink r:id="rId161" w:history="1">
        <w:r w:rsidRPr="005662D8">
          <w:rPr>
            <w:rStyle w:val="Collegamentoipertestuale"/>
            <w:sz w:val="20"/>
            <w:szCs w:val="20"/>
            <w:lang w:val="en-US"/>
          </w:rPr>
          <w:t>https://doi.org/10.1080/10758216.2019.1591925</w:t>
        </w:r>
      </w:hyperlink>
      <w:r w:rsidRPr="005662D8">
        <w:rPr>
          <w:sz w:val="20"/>
          <w:szCs w:val="20"/>
          <w:lang w:val="en-US"/>
        </w:rPr>
        <w:t>.</w:t>
      </w:r>
    </w:p>
    <w:p w14:paraId="1FF1502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Kazimirov, Vladimir.</w:t>
      </w:r>
      <w:r w:rsidRPr="005662D8">
        <w:rPr>
          <w:sz w:val="20"/>
          <w:szCs w:val="20"/>
          <w:lang w:val="en-US"/>
        </w:rPr>
        <w:t xml:space="preserve"> 2014. </w:t>
      </w:r>
      <w:r w:rsidRPr="005662D8">
        <w:rPr>
          <w:rStyle w:val="Enfasicorsivo"/>
          <w:sz w:val="20"/>
          <w:szCs w:val="20"/>
          <w:lang w:val="en-US"/>
        </w:rPr>
        <w:t>Peace to Karabakh: Russia’s Mediation in the Settlement of the Nagorno-Karabakh Conflict.</w:t>
      </w:r>
      <w:r w:rsidRPr="005662D8">
        <w:rPr>
          <w:sz w:val="20"/>
          <w:szCs w:val="20"/>
          <w:lang w:val="en-US"/>
        </w:rPr>
        <w:t xml:space="preserve"> Moscow, Russian Federation: VES MIR Publishers.</w:t>
      </w:r>
    </w:p>
    <w:p w14:paraId="079BBC4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Ketokivi, Mikko, and Saku Mantere.</w:t>
      </w:r>
      <w:r w:rsidRPr="005662D8">
        <w:rPr>
          <w:sz w:val="20"/>
          <w:szCs w:val="20"/>
          <w:lang w:val="en-US"/>
        </w:rPr>
        <w:t xml:space="preserve"> 2010. “Two Strategies for Inductive Reasoning in Organizational Research.” </w:t>
      </w:r>
      <w:r w:rsidRPr="005662D8">
        <w:rPr>
          <w:rStyle w:val="Enfasicorsivo"/>
          <w:sz w:val="20"/>
          <w:szCs w:val="20"/>
          <w:lang w:val="en-US"/>
        </w:rPr>
        <w:t>Academy of Management Review</w:t>
      </w:r>
      <w:r w:rsidRPr="005662D8">
        <w:rPr>
          <w:sz w:val="20"/>
          <w:szCs w:val="20"/>
          <w:lang w:val="en-US"/>
        </w:rPr>
        <w:t xml:space="preserve"> 35 (2): 315–33. </w:t>
      </w:r>
      <w:hyperlink r:id="rId162" w:history="1">
        <w:r w:rsidRPr="005662D8">
          <w:rPr>
            <w:rStyle w:val="Collegamentoipertestuale"/>
            <w:sz w:val="20"/>
            <w:szCs w:val="20"/>
            <w:lang w:val="en-US"/>
          </w:rPr>
          <w:t>https://doi.org/10.5465/amr.2010.48463336</w:t>
        </w:r>
      </w:hyperlink>
      <w:r w:rsidRPr="005662D8">
        <w:rPr>
          <w:sz w:val="20"/>
          <w:szCs w:val="20"/>
          <w:lang w:val="en-US"/>
        </w:rPr>
        <w:t>.</w:t>
      </w:r>
    </w:p>
    <w:p w14:paraId="7C931322" w14:textId="77777777" w:rsidR="00E9035E" w:rsidRPr="00391B8E" w:rsidRDefault="00E9035E" w:rsidP="005662D8">
      <w:pPr>
        <w:pStyle w:val="NormaleWeb"/>
        <w:spacing w:line="240" w:lineRule="auto"/>
        <w:rPr>
          <w:sz w:val="20"/>
          <w:szCs w:val="20"/>
        </w:rPr>
      </w:pPr>
      <w:r w:rsidRPr="00391B8E">
        <w:rPr>
          <w:rStyle w:val="Enfasigrassetto"/>
          <w:b w:val="0"/>
          <w:sz w:val="20"/>
          <w:szCs w:val="20"/>
        </w:rPr>
        <w:t xml:space="preserve">Khalafyan, Armen. </w:t>
      </w:r>
      <w:r w:rsidRPr="005662D8">
        <w:rPr>
          <w:rStyle w:val="Enfasigrassetto"/>
          <w:b w:val="0"/>
          <w:sz w:val="20"/>
          <w:szCs w:val="20"/>
        </w:rPr>
        <w:t>2015.</w:t>
      </w:r>
      <w:r w:rsidRPr="005662D8">
        <w:rPr>
          <w:sz w:val="20"/>
          <w:szCs w:val="20"/>
        </w:rPr>
        <w:t xml:space="preserve"> </w:t>
      </w:r>
      <w:r w:rsidRPr="005662D8">
        <w:rPr>
          <w:rStyle w:val="Enfasicorsivo"/>
          <w:sz w:val="20"/>
          <w:szCs w:val="20"/>
        </w:rPr>
        <w:t>Quando il Caucaso Incontrò la Russia: Cinque Storie Esemplari.</w:t>
      </w:r>
      <w:r w:rsidRPr="005662D8">
        <w:rPr>
          <w:sz w:val="20"/>
          <w:szCs w:val="20"/>
        </w:rPr>
        <w:t xml:space="preserve"> </w:t>
      </w:r>
      <w:r w:rsidRPr="00391B8E">
        <w:rPr>
          <w:sz w:val="20"/>
          <w:szCs w:val="20"/>
        </w:rPr>
        <w:t>Milano, Italy: Guerini e Associati.</w:t>
      </w:r>
    </w:p>
    <w:p w14:paraId="3151FEA8" w14:textId="77777777" w:rsidR="00E9035E" w:rsidRPr="005662D8" w:rsidRDefault="00E9035E" w:rsidP="005662D8">
      <w:pPr>
        <w:pStyle w:val="NormaleWeb"/>
        <w:spacing w:line="240" w:lineRule="auto"/>
        <w:rPr>
          <w:sz w:val="20"/>
          <w:szCs w:val="20"/>
          <w:lang w:val="en-US"/>
        </w:rPr>
      </w:pPr>
      <w:r w:rsidRPr="00391B8E">
        <w:rPr>
          <w:rStyle w:val="Enfasigrassetto"/>
          <w:b w:val="0"/>
          <w:sz w:val="20"/>
          <w:szCs w:val="20"/>
        </w:rPr>
        <w:t>Khong, Yuen Foong.</w:t>
      </w:r>
      <w:r w:rsidRPr="00391B8E">
        <w:rPr>
          <w:sz w:val="20"/>
          <w:szCs w:val="20"/>
        </w:rPr>
        <w:t xml:space="preserve"> </w:t>
      </w:r>
      <w:r w:rsidRPr="005662D8">
        <w:rPr>
          <w:sz w:val="20"/>
          <w:szCs w:val="20"/>
          <w:lang w:val="en-US"/>
        </w:rPr>
        <w:t xml:space="preserve">1992. </w:t>
      </w:r>
      <w:r w:rsidRPr="005662D8">
        <w:rPr>
          <w:rStyle w:val="Enfasicorsivo"/>
          <w:sz w:val="20"/>
          <w:szCs w:val="20"/>
          <w:lang w:val="en-US"/>
        </w:rPr>
        <w:t>Analogies at War: Korea, Munich, Dien Bien Phu, and the Vietnam Decisions of 1965.</w:t>
      </w:r>
      <w:r w:rsidRPr="005662D8">
        <w:rPr>
          <w:sz w:val="20"/>
          <w:szCs w:val="20"/>
          <w:lang w:val="en-US"/>
        </w:rPr>
        <w:t xml:space="preserve"> Princeton, United States: Princeton University Press.</w:t>
      </w:r>
    </w:p>
    <w:p w14:paraId="31A33DE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Khulian, Artak.</w:t>
      </w:r>
      <w:r w:rsidRPr="005662D8">
        <w:rPr>
          <w:sz w:val="20"/>
          <w:szCs w:val="20"/>
          <w:lang w:val="en-US"/>
        </w:rPr>
        <w:t xml:space="preserve"> 2024. “Armenia Edits History Textbook after Russian Backlash.” </w:t>
      </w:r>
      <w:r w:rsidRPr="005662D8">
        <w:rPr>
          <w:rStyle w:val="Enfasicorsivo"/>
          <w:sz w:val="20"/>
          <w:szCs w:val="20"/>
          <w:lang w:val="en-US"/>
        </w:rPr>
        <w:t>Azatutyun,</w:t>
      </w:r>
      <w:r w:rsidRPr="005662D8">
        <w:rPr>
          <w:sz w:val="20"/>
          <w:szCs w:val="20"/>
          <w:lang w:val="en-US"/>
        </w:rPr>
        <w:t xml:space="preserve"> August 16. Available at: </w:t>
      </w:r>
      <w:hyperlink r:id="rId163" w:tgtFrame="_new" w:history="1">
        <w:r w:rsidRPr="005662D8">
          <w:rPr>
            <w:rStyle w:val="Collegamentoipertestuale"/>
            <w:sz w:val="20"/>
            <w:szCs w:val="20"/>
            <w:lang w:val="en-US"/>
          </w:rPr>
          <w:t>https://www.azatutyun.am/a/33081494.html</w:t>
        </w:r>
      </w:hyperlink>
      <w:r w:rsidRPr="005662D8">
        <w:rPr>
          <w:sz w:val="20"/>
          <w:szCs w:val="20"/>
          <w:lang w:val="en-US"/>
        </w:rPr>
        <w:t xml:space="preserve"> (accessed on November 19, 2025).</w:t>
      </w:r>
    </w:p>
    <w:p w14:paraId="5E89F28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Kim, Dong Jin, and Duncan Morrow.</w:t>
      </w:r>
      <w:r w:rsidRPr="005662D8">
        <w:rPr>
          <w:sz w:val="20"/>
          <w:szCs w:val="20"/>
          <w:lang w:val="en-US"/>
        </w:rPr>
        <w:t xml:space="preserve"> 2024. “Ontological Security and Protracted Conflict in Frontier Societies: Towards a Trans-Local Turn in Peacebuilding.” </w:t>
      </w:r>
      <w:r w:rsidRPr="005662D8">
        <w:rPr>
          <w:rStyle w:val="Enfasicorsivo"/>
          <w:sz w:val="20"/>
          <w:szCs w:val="20"/>
          <w:lang w:val="en-US"/>
        </w:rPr>
        <w:t>Peacebuilding</w:t>
      </w:r>
      <w:r w:rsidRPr="005662D8">
        <w:rPr>
          <w:sz w:val="20"/>
          <w:szCs w:val="20"/>
          <w:lang w:val="en-US"/>
        </w:rPr>
        <w:t xml:space="preserve"> 13 (3): 275–90. </w:t>
      </w:r>
      <w:hyperlink r:id="rId164" w:history="1">
        <w:r w:rsidRPr="005662D8">
          <w:rPr>
            <w:rStyle w:val="Collegamentoipertestuale"/>
            <w:sz w:val="20"/>
            <w:szCs w:val="20"/>
            <w:lang w:val="en-US"/>
          </w:rPr>
          <w:t>https://doi.org/10.1080/21647259.2024.2370687</w:t>
        </w:r>
      </w:hyperlink>
      <w:r w:rsidRPr="005662D8">
        <w:rPr>
          <w:sz w:val="20"/>
          <w:szCs w:val="20"/>
          <w:lang w:val="en-US"/>
        </w:rPr>
        <w:t>.</w:t>
      </w:r>
    </w:p>
    <w:p w14:paraId="6D2AD0D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Kinnvall, Catarina, and Jennifer Mitzen.</w:t>
      </w:r>
      <w:r w:rsidRPr="005662D8">
        <w:rPr>
          <w:sz w:val="20"/>
          <w:szCs w:val="20"/>
          <w:lang w:val="en-US"/>
        </w:rPr>
        <w:t xml:space="preserve"> 2018. “Ontological Security and Conflict: The Dynamics of Crisis and the Constitution of Community.” </w:t>
      </w:r>
      <w:r w:rsidRPr="005662D8">
        <w:rPr>
          <w:rStyle w:val="Enfasicorsivo"/>
          <w:sz w:val="20"/>
          <w:szCs w:val="20"/>
          <w:lang w:val="en-US"/>
        </w:rPr>
        <w:t>Journal of International Relations and Development</w:t>
      </w:r>
      <w:r w:rsidRPr="005662D8">
        <w:rPr>
          <w:sz w:val="20"/>
          <w:szCs w:val="20"/>
          <w:lang w:val="en-US"/>
        </w:rPr>
        <w:t xml:space="preserve"> 21 (4): 825–35. </w:t>
      </w:r>
      <w:hyperlink r:id="rId165" w:history="1">
        <w:r w:rsidRPr="005662D8">
          <w:rPr>
            <w:rStyle w:val="Collegamentoipertestuale"/>
            <w:sz w:val="20"/>
            <w:szCs w:val="20"/>
            <w:lang w:val="en-US"/>
          </w:rPr>
          <w:t>https://doi.org/10.1057/s41268-018-0161-1</w:t>
        </w:r>
      </w:hyperlink>
      <w:r w:rsidRPr="005662D8">
        <w:rPr>
          <w:sz w:val="20"/>
          <w:szCs w:val="20"/>
          <w:lang w:val="en-US"/>
        </w:rPr>
        <w:t>.</w:t>
      </w:r>
    </w:p>
    <w:p w14:paraId="1E9A4B6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Kinnvall, Catarina.</w:t>
      </w:r>
      <w:r w:rsidRPr="005662D8">
        <w:rPr>
          <w:sz w:val="20"/>
          <w:szCs w:val="20"/>
          <w:lang w:val="en-US"/>
        </w:rPr>
        <w:t xml:space="preserve"> 2004. “Globalization and Religious Nationalism: Self, Identity, and the Search for Ontological Security.” </w:t>
      </w:r>
      <w:r w:rsidRPr="005662D8">
        <w:rPr>
          <w:rStyle w:val="Enfasicorsivo"/>
          <w:sz w:val="20"/>
          <w:szCs w:val="20"/>
          <w:lang w:val="en-US"/>
        </w:rPr>
        <w:t>Political Psychology</w:t>
      </w:r>
      <w:r w:rsidRPr="005662D8">
        <w:rPr>
          <w:sz w:val="20"/>
          <w:szCs w:val="20"/>
          <w:lang w:val="en-US"/>
        </w:rPr>
        <w:t xml:space="preserve"> 25 (5): 741–67. </w:t>
      </w:r>
      <w:hyperlink r:id="rId166" w:history="1">
        <w:r w:rsidRPr="005662D8">
          <w:rPr>
            <w:rStyle w:val="Collegamentoipertestuale"/>
            <w:sz w:val="20"/>
            <w:szCs w:val="20"/>
            <w:lang w:val="en-US"/>
          </w:rPr>
          <w:t>https://doi.org/10.1111/j.1467-9221.2004.00396.x</w:t>
        </w:r>
      </w:hyperlink>
      <w:r w:rsidRPr="005662D8">
        <w:rPr>
          <w:sz w:val="20"/>
          <w:szCs w:val="20"/>
          <w:lang w:val="en-US"/>
        </w:rPr>
        <w:t>.</w:t>
      </w:r>
    </w:p>
    <w:p w14:paraId="204B87F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Klein, Kerwin Lee.</w:t>
      </w:r>
      <w:r w:rsidRPr="005662D8">
        <w:rPr>
          <w:sz w:val="20"/>
          <w:szCs w:val="20"/>
          <w:lang w:val="en-US"/>
        </w:rPr>
        <w:t xml:space="preserve"> 2000. “On the Emergence of Memory in Historical Discourse.” </w:t>
      </w:r>
      <w:r w:rsidRPr="005662D8">
        <w:rPr>
          <w:rStyle w:val="Enfasicorsivo"/>
          <w:sz w:val="20"/>
          <w:szCs w:val="20"/>
          <w:lang w:val="en-US"/>
        </w:rPr>
        <w:t>Representations</w:t>
      </w:r>
      <w:r w:rsidRPr="005662D8">
        <w:rPr>
          <w:sz w:val="20"/>
          <w:szCs w:val="20"/>
          <w:lang w:val="en-US"/>
        </w:rPr>
        <w:t xml:space="preserve"> 69 (1): 127–50. </w:t>
      </w:r>
      <w:hyperlink r:id="rId167" w:history="1">
        <w:r w:rsidRPr="005662D8">
          <w:rPr>
            <w:rStyle w:val="Collegamentoipertestuale"/>
            <w:sz w:val="20"/>
            <w:szCs w:val="20"/>
            <w:lang w:val="en-US"/>
          </w:rPr>
          <w:t>https://doi.org/10.1525/rep.2000.69.1.01p0064y</w:t>
        </w:r>
      </w:hyperlink>
      <w:r w:rsidRPr="005662D8">
        <w:rPr>
          <w:sz w:val="20"/>
          <w:szCs w:val="20"/>
          <w:lang w:val="en-US"/>
        </w:rPr>
        <w:t>.</w:t>
      </w:r>
    </w:p>
    <w:p w14:paraId="0CAB9E2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Klymenko, Lina, and Marco Siddi.</w:t>
      </w:r>
      <w:r w:rsidRPr="005662D8">
        <w:rPr>
          <w:sz w:val="20"/>
          <w:szCs w:val="20"/>
          <w:lang w:val="en-US"/>
        </w:rPr>
        <w:t xml:space="preserve"> 2022. </w:t>
      </w:r>
      <w:r w:rsidRPr="005662D8">
        <w:rPr>
          <w:rStyle w:val="Enfasicorsivo"/>
          <w:sz w:val="20"/>
          <w:szCs w:val="20"/>
          <w:lang w:val="en-US"/>
        </w:rPr>
        <w:t>Historical Memory and Foreign Policy.</w:t>
      </w:r>
      <w:r w:rsidRPr="005662D8">
        <w:rPr>
          <w:sz w:val="20"/>
          <w:szCs w:val="20"/>
          <w:lang w:val="en-US"/>
        </w:rPr>
        <w:t xml:space="preserve"> Cham, Germany: Palgrave Macmillan.</w:t>
      </w:r>
    </w:p>
    <w:p w14:paraId="2EDF9B2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Koinova, Maria.</w:t>
      </w:r>
      <w:r w:rsidRPr="005662D8">
        <w:rPr>
          <w:sz w:val="20"/>
          <w:szCs w:val="20"/>
          <w:lang w:val="en-US"/>
        </w:rPr>
        <w:t xml:space="preserve"> 2021. “Armenian Transnational Social Field and Diaspora Entrepreneurs.” In </w:t>
      </w:r>
      <w:r w:rsidRPr="005662D8">
        <w:rPr>
          <w:rStyle w:val="Enfasicorsivo"/>
          <w:sz w:val="20"/>
          <w:szCs w:val="20"/>
          <w:lang w:val="en-US"/>
        </w:rPr>
        <w:t>Diaspora Entrepreneurs and Contested States,</w:t>
      </w:r>
      <w:r w:rsidRPr="005662D8">
        <w:rPr>
          <w:sz w:val="20"/>
          <w:szCs w:val="20"/>
          <w:lang w:val="en-US"/>
        </w:rPr>
        <w:t xml:space="preserve"> 195–212. </w:t>
      </w:r>
      <w:hyperlink r:id="rId168" w:history="1">
        <w:r w:rsidRPr="005662D8">
          <w:rPr>
            <w:rStyle w:val="Collegamentoipertestuale"/>
            <w:sz w:val="20"/>
            <w:szCs w:val="20"/>
            <w:lang w:val="en-US"/>
          </w:rPr>
          <w:t>https://doi.org/10.1093/oso/9780198848622.003.0008</w:t>
        </w:r>
      </w:hyperlink>
      <w:r w:rsidRPr="005662D8">
        <w:rPr>
          <w:sz w:val="20"/>
          <w:szCs w:val="20"/>
          <w:lang w:val="en-US"/>
        </w:rPr>
        <w:t>.</w:t>
      </w:r>
    </w:p>
    <w:p w14:paraId="534F341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Kollmann, Nancy. 2017.</w:t>
      </w:r>
      <w:r w:rsidRPr="005662D8">
        <w:rPr>
          <w:sz w:val="20"/>
          <w:szCs w:val="20"/>
          <w:lang w:val="en-US"/>
        </w:rPr>
        <w:t xml:space="preserve"> </w:t>
      </w:r>
      <w:r w:rsidRPr="005662D8">
        <w:rPr>
          <w:rStyle w:val="Enfasicorsivo"/>
          <w:sz w:val="20"/>
          <w:szCs w:val="20"/>
          <w:lang w:val="en-US"/>
        </w:rPr>
        <w:t>By Honor Bound: State and Society in Early Modern Russia.</w:t>
      </w:r>
      <w:r w:rsidRPr="005662D8">
        <w:rPr>
          <w:sz w:val="20"/>
          <w:szCs w:val="20"/>
          <w:lang w:val="en-US"/>
        </w:rPr>
        <w:t xml:space="preserve"> Ithaca, United States: Cornell University Press.</w:t>
      </w:r>
    </w:p>
    <w:p w14:paraId="208DBD1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Kolstø, Pål, and Helge Blakkisrud.</w:t>
      </w:r>
      <w:r w:rsidRPr="005662D8">
        <w:rPr>
          <w:sz w:val="20"/>
          <w:szCs w:val="20"/>
          <w:lang w:val="en-US"/>
        </w:rPr>
        <w:t xml:space="preserve"> 2021. “Russia’s Neighborhood Policy and Its Eurasian Client States: No Autocracy Export.” </w:t>
      </w:r>
      <w:r w:rsidRPr="005662D8">
        <w:rPr>
          <w:rStyle w:val="Enfasicorsivo"/>
          <w:sz w:val="20"/>
          <w:szCs w:val="20"/>
          <w:lang w:val="en-US"/>
        </w:rPr>
        <w:t>Russia in Global Affairs</w:t>
      </w:r>
      <w:r w:rsidRPr="005662D8">
        <w:rPr>
          <w:sz w:val="20"/>
          <w:szCs w:val="20"/>
          <w:lang w:val="en-US"/>
        </w:rPr>
        <w:t xml:space="preserve"> 19 (2): 38–62. </w:t>
      </w:r>
      <w:hyperlink r:id="rId169" w:history="1">
        <w:r w:rsidRPr="005662D8">
          <w:rPr>
            <w:rStyle w:val="Collegamentoipertestuale"/>
            <w:sz w:val="20"/>
            <w:szCs w:val="20"/>
            <w:lang w:val="en-US"/>
          </w:rPr>
          <w:t>https://doi.org/10.31278/1810-6374-2021-19-2-38-62</w:t>
        </w:r>
      </w:hyperlink>
      <w:r w:rsidRPr="005662D8">
        <w:rPr>
          <w:sz w:val="20"/>
          <w:szCs w:val="20"/>
          <w:lang w:val="en-US"/>
        </w:rPr>
        <w:t>.</w:t>
      </w:r>
    </w:p>
    <w:p w14:paraId="789C867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Kopeček, Vincenc.</w:t>
      </w:r>
      <w:r w:rsidRPr="005662D8">
        <w:rPr>
          <w:sz w:val="20"/>
          <w:szCs w:val="20"/>
          <w:lang w:val="en-US"/>
        </w:rPr>
        <w:t xml:space="preserve"> 2019. “The Nagorno-Karabakh Republic and the Republic of Armenia.” In </w:t>
      </w:r>
      <w:r w:rsidRPr="005662D8">
        <w:rPr>
          <w:rStyle w:val="Enfasicorsivo"/>
          <w:sz w:val="20"/>
          <w:szCs w:val="20"/>
          <w:lang w:val="en-US"/>
        </w:rPr>
        <w:t>De Facto States in Eurasia,</w:t>
      </w:r>
      <w:r w:rsidRPr="005662D8">
        <w:rPr>
          <w:sz w:val="20"/>
          <w:szCs w:val="20"/>
          <w:lang w:val="en-US"/>
        </w:rPr>
        <w:t xml:space="preserve"> 208–25. London, United Kingdom: Routledge.</w:t>
      </w:r>
    </w:p>
    <w:p w14:paraId="27DFF61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Koschut, Simon.</w:t>
      </w:r>
      <w:r w:rsidRPr="005662D8">
        <w:rPr>
          <w:sz w:val="20"/>
          <w:szCs w:val="20"/>
          <w:lang w:val="en-US"/>
        </w:rPr>
        <w:t xml:space="preserve"> 2018. “Speaking from the Heart: Emotion Discourse Analysis in International Relations.” In </w:t>
      </w:r>
      <w:r w:rsidRPr="005662D8">
        <w:rPr>
          <w:rStyle w:val="Enfasicorsivo"/>
          <w:sz w:val="20"/>
          <w:szCs w:val="20"/>
          <w:lang w:val="en-US"/>
        </w:rPr>
        <w:t>Researching Emotions in International Relations</w:t>
      </w:r>
      <w:r w:rsidRPr="005662D8">
        <w:rPr>
          <w:sz w:val="20"/>
          <w:szCs w:val="20"/>
          <w:lang w:val="en-US"/>
        </w:rPr>
        <w:t xml:space="preserve"> (Palgrave Studies in International Relations). Cham, Germany: Palgrave Macmillan.</w:t>
      </w:r>
    </w:p>
    <w:p w14:paraId="55F00534"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Koschut, Simon. 2022a. “Emotion Discourse Analysis.” In </w:t>
      </w:r>
      <w:r w:rsidRPr="005662D8">
        <w:rPr>
          <w:rStyle w:val="Enfasicorsivo"/>
          <w:sz w:val="20"/>
          <w:szCs w:val="20"/>
          <w:lang w:val="en-US"/>
        </w:rPr>
        <w:t>Routledge Handbook of Foreign Policy Analysis Methods</w:t>
      </w:r>
      <w:r w:rsidRPr="005662D8">
        <w:rPr>
          <w:sz w:val="20"/>
          <w:szCs w:val="20"/>
          <w:lang w:val="en-US"/>
        </w:rPr>
        <w:t>, 168–185. Abingdon, Oxon, United Kingdom: Routledge.</w:t>
      </w:r>
    </w:p>
    <w:p w14:paraId="74046E9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Kotkin, Stephen.</w:t>
      </w:r>
      <w:r w:rsidRPr="005662D8">
        <w:rPr>
          <w:sz w:val="20"/>
          <w:szCs w:val="20"/>
          <w:lang w:val="en-US"/>
        </w:rPr>
        <w:t xml:space="preserve"> 2016. “Russia’s Perpetual Geopolitics: Putin Returns to the Historical Pattern.” </w:t>
      </w:r>
      <w:r w:rsidRPr="005662D8">
        <w:rPr>
          <w:rStyle w:val="Enfasicorsivo"/>
          <w:sz w:val="20"/>
          <w:szCs w:val="20"/>
          <w:lang w:val="en-US"/>
        </w:rPr>
        <w:t>Foreign Affairs</w:t>
      </w:r>
      <w:r w:rsidRPr="005662D8">
        <w:rPr>
          <w:sz w:val="20"/>
          <w:szCs w:val="20"/>
          <w:lang w:val="en-US"/>
        </w:rPr>
        <w:t xml:space="preserve"> 95 (3): 2–9.</w:t>
      </w:r>
    </w:p>
    <w:p w14:paraId="691444E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Kozyrev, Andrei.</w:t>
      </w:r>
      <w:r w:rsidRPr="005662D8">
        <w:rPr>
          <w:sz w:val="20"/>
          <w:szCs w:val="20"/>
          <w:lang w:val="en-US"/>
        </w:rPr>
        <w:t xml:space="preserve"> 1994. “The Lagging Partnership.” </w:t>
      </w:r>
      <w:r w:rsidRPr="005662D8">
        <w:rPr>
          <w:rStyle w:val="Enfasicorsivo"/>
          <w:sz w:val="20"/>
          <w:szCs w:val="20"/>
          <w:lang w:val="en-US"/>
        </w:rPr>
        <w:t>Foreign Affairs,</w:t>
      </w:r>
      <w:r w:rsidRPr="005662D8">
        <w:rPr>
          <w:sz w:val="20"/>
          <w:szCs w:val="20"/>
          <w:lang w:val="en-US"/>
        </w:rPr>
        <w:t xml:space="preserve"> May 1. Available at: </w:t>
      </w:r>
      <w:hyperlink r:id="rId170" w:tgtFrame="_new" w:history="1">
        <w:r w:rsidRPr="005662D8">
          <w:rPr>
            <w:rStyle w:val="Collegamentoipertestuale"/>
            <w:sz w:val="20"/>
            <w:szCs w:val="20"/>
            <w:lang w:val="en-US"/>
          </w:rPr>
          <w:t>https://www.foreignaffairs.com/articles/russian-federation/1994-05-01/lagging-partnership</w:t>
        </w:r>
      </w:hyperlink>
      <w:r w:rsidRPr="005662D8">
        <w:rPr>
          <w:sz w:val="20"/>
          <w:szCs w:val="20"/>
          <w:lang w:val="en-US"/>
        </w:rPr>
        <w:t xml:space="preserve"> (accessed on November 19, 2025).</w:t>
      </w:r>
    </w:p>
    <w:p w14:paraId="69D74051" w14:textId="4664C0BD"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Kramer, Mark.</w:t>
      </w:r>
      <w:r w:rsidRPr="005662D8">
        <w:rPr>
          <w:sz w:val="20"/>
          <w:szCs w:val="20"/>
          <w:lang w:val="en-US"/>
        </w:rPr>
        <w:t xml:space="preserve"> 2008. “Russian Policy toward the Commonwealth of Independent States.” </w:t>
      </w:r>
      <w:r w:rsidRPr="005662D8">
        <w:rPr>
          <w:rStyle w:val="Enfasicorsivo"/>
          <w:sz w:val="20"/>
          <w:szCs w:val="20"/>
          <w:lang w:val="en-US"/>
        </w:rPr>
        <w:t>Problems of Post-Communism</w:t>
      </w:r>
      <w:r w:rsidRPr="005662D8">
        <w:rPr>
          <w:sz w:val="20"/>
          <w:szCs w:val="20"/>
          <w:lang w:val="en-US"/>
        </w:rPr>
        <w:t xml:space="preserve"> 55 (6): 3–19. </w:t>
      </w:r>
      <w:hyperlink r:id="rId171" w:history="1">
        <w:r w:rsidR="00CC5EE6" w:rsidRPr="00F3725E">
          <w:rPr>
            <w:rStyle w:val="Collegamentoipertestuale"/>
            <w:sz w:val="20"/>
            <w:szCs w:val="20"/>
            <w:lang w:val="en-US"/>
          </w:rPr>
          <w:t>https://doi.org/10.2753/ppc1075-8216550601</w:t>
        </w:r>
      </w:hyperlink>
      <w:r w:rsidRPr="005662D8">
        <w:rPr>
          <w:sz w:val="20"/>
          <w:szCs w:val="20"/>
          <w:lang w:val="en-US"/>
        </w:rPr>
        <w:t>.</w:t>
      </w:r>
    </w:p>
    <w:p w14:paraId="2A0FBCD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Kratochwil, Friedrich V.</w:t>
      </w:r>
      <w:r w:rsidRPr="005662D8">
        <w:rPr>
          <w:sz w:val="20"/>
          <w:szCs w:val="20"/>
          <w:lang w:val="en-US"/>
        </w:rPr>
        <w:t xml:space="preserve"> 2011. </w:t>
      </w:r>
      <w:r w:rsidRPr="005662D8">
        <w:rPr>
          <w:rStyle w:val="Enfasicorsivo"/>
          <w:sz w:val="20"/>
          <w:szCs w:val="20"/>
          <w:lang w:val="en-US"/>
        </w:rPr>
        <w:t>Rules, Norms, and Decisions: On the Conditions of Practical and Legal Reasoning in International Relations and Domestic Affairs.</w:t>
      </w:r>
      <w:r w:rsidRPr="005662D8">
        <w:rPr>
          <w:sz w:val="20"/>
          <w:szCs w:val="20"/>
          <w:lang w:val="en-US"/>
        </w:rPr>
        <w:t xml:space="preserve"> Cambridge, United Kingdom: Cambridge University Press.</w:t>
      </w:r>
    </w:p>
    <w:p w14:paraId="38CD273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Krebs, Ronald R.</w:t>
      </w:r>
      <w:r w:rsidRPr="005662D8">
        <w:rPr>
          <w:sz w:val="20"/>
          <w:szCs w:val="20"/>
          <w:lang w:val="en-US"/>
        </w:rPr>
        <w:t xml:space="preserve"> 2015. </w:t>
      </w:r>
      <w:r w:rsidRPr="005662D8">
        <w:rPr>
          <w:rStyle w:val="Enfasicorsivo"/>
          <w:sz w:val="20"/>
          <w:szCs w:val="20"/>
          <w:lang w:val="en-US"/>
        </w:rPr>
        <w:t>Narrative and the Making of US National Security.</w:t>
      </w:r>
      <w:r w:rsidRPr="005662D8">
        <w:rPr>
          <w:sz w:val="20"/>
          <w:szCs w:val="20"/>
          <w:lang w:val="en-US"/>
        </w:rPr>
        <w:t xml:space="preserve"> New York, United States: Cambridge University Press.</w:t>
      </w:r>
    </w:p>
    <w:p w14:paraId="3165C33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Krickel-Choi, Nina C.</w:t>
      </w:r>
      <w:r w:rsidRPr="005662D8">
        <w:rPr>
          <w:sz w:val="20"/>
          <w:szCs w:val="20"/>
          <w:lang w:val="en-US"/>
        </w:rPr>
        <w:t xml:space="preserve"> 2021. “The Embodied State: Why and How Physical Security Matters for Ontological Security.” </w:t>
      </w:r>
      <w:r w:rsidRPr="005662D8">
        <w:rPr>
          <w:rStyle w:val="Enfasicorsivo"/>
          <w:sz w:val="20"/>
          <w:szCs w:val="20"/>
          <w:lang w:val="en-US"/>
        </w:rPr>
        <w:t>Journal of International Relations and Development</w:t>
      </w:r>
      <w:r w:rsidRPr="005662D8">
        <w:rPr>
          <w:sz w:val="20"/>
          <w:szCs w:val="20"/>
          <w:lang w:val="en-US"/>
        </w:rPr>
        <w:t xml:space="preserve"> 25 (1): 159–81. </w:t>
      </w:r>
      <w:hyperlink r:id="rId172" w:history="1">
        <w:r w:rsidRPr="005662D8">
          <w:rPr>
            <w:rStyle w:val="Collegamentoipertestuale"/>
            <w:sz w:val="20"/>
            <w:szCs w:val="20"/>
            <w:lang w:val="en-US"/>
          </w:rPr>
          <w:t>https://doi.org/10.1057/s41268-021-00219-x</w:t>
        </w:r>
      </w:hyperlink>
      <w:r w:rsidRPr="005662D8">
        <w:rPr>
          <w:sz w:val="20"/>
          <w:szCs w:val="20"/>
          <w:lang w:val="en-US"/>
        </w:rPr>
        <w:t>.</w:t>
      </w:r>
    </w:p>
    <w:p w14:paraId="1E07D0AB" w14:textId="18ABC877"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Krickel-Choi, Nina C.</w:t>
      </w:r>
      <w:r w:rsidRPr="005662D8">
        <w:rPr>
          <w:sz w:val="20"/>
          <w:szCs w:val="20"/>
          <w:lang w:val="en-US"/>
        </w:rPr>
        <w:t xml:space="preserve"> 2022a. “The Concept of Anxiety in Ontological Security Studies.” </w:t>
      </w:r>
      <w:r w:rsidRPr="005662D8">
        <w:rPr>
          <w:rStyle w:val="Enfasicorsivo"/>
          <w:sz w:val="20"/>
          <w:szCs w:val="20"/>
          <w:lang w:val="en-US"/>
        </w:rPr>
        <w:t>International Studies Review</w:t>
      </w:r>
      <w:r w:rsidRPr="005662D8">
        <w:rPr>
          <w:sz w:val="20"/>
          <w:szCs w:val="20"/>
          <w:lang w:val="en-US"/>
        </w:rPr>
        <w:t xml:space="preserve"> 24 (3): 1–21. </w:t>
      </w:r>
      <w:hyperlink r:id="rId173" w:history="1">
        <w:r w:rsidR="00CC5EE6" w:rsidRPr="00F3725E">
          <w:rPr>
            <w:rStyle w:val="Collegamentoipertestuale"/>
            <w:sz w:val="20"/>
            <w:szCs w:val="20"/>
            <w:lang w:val="en-US"/>
          </w:rPr>
          <w:t>https://doi.org/10.1093/isr/viac013</w:t>
        </w:r>
      </w:hyperlink>
      <w:r w:rsidRPr="005662D8">
        <w:rPr>
          <w:sz w:val="20"/>
          <w:szCs w:val="20"/>
          <w:lang w:val="en-US"/>
        </w:rPr>
        <w:t>.</w:t>
      </w:r>
    </w:p>
    <w:p w14:paraId="0F313790" w14:textId="34AE5AB4"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Krickel-Choi, Nina C.</w:t>
      </w:r>
      <w:r w:rsidRPr="005662D8">
        <w:rPr>
          <w:sz w:val="20"/>
          <w:szCs w:val="20"/>
          <w:lang w:val="en-US"/>
        </w:rPr>
        <w:t xml:space="preserve"> 2022b. “State Personhood and Ontological Security as a Framework of Existence: Moving beyond Identity, Discovering Sovereignty.” </w:t>
      </w:r>
      <w:r w:rsidRPr="005662D8">
        <w:rPr>
          <w:rStyle w:val="Enfasicorsivo"/>
          <w:sz w:val="20"/>
          <w:szCs w:val="20"/>
          <w:lang w:val="en-US"/>
        </w:rPr>
        <w:t>Cambridge Review of International Affairs</w:t>
      </w:r>
      <w:r w:rsidRPr="005662D8">
        <w:rPr>
          <w:sz w:val="20"/>
          <w:szCs w:val="20"/>
          <w:lang w:val="en-US"/>
        </w:rPr>
        <w:t xml:space="preserve"> 37 (1): 3–21. </w:t>
      </w:r>
      <w:hyperlink r:id="rId174" w:history="1">
        <w:r w:rsidR="00CC5EE6" w:rsidRPr="00F3725E">
          <w:rPr>
            <w:rStyle w:val="Collegamentoipertestuale"/>
            <w:sz w:val="20"/>
            <w:szCs w:val="20"/>
            <w:lang w:val="en-US"/>
          </w:rPr>
          <w:t>https://doi.org/10.1080/09557571.2022.2108761</w:t>
        </w:r>
      </w:hyperlink>
      <w:r w:rsidRPr="005662D8">
        <w:rPr>
          <w:sz w:val="20"/>
          <w:szCs w:val="20"/>
          <w:lang w:val="en-US"/>
        </w:rPr>
        <w:t>.</w:t>
      </w:r>
    </w:p>
    <w:p w14:paraId="2BCD106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Krickovic, Andrej, and Richard Sakwa.</w:t>
      </w:r>
      <w:r w:rsidRPr="005662D8">
        <w:rPr>
          <w:sz w:val="20"/>
          <w:szCs w:val="20"/>
          <w:lang w:val="en-US"/>
        </w:rPr>
        <w:t xml:space="preserve"> 2022. “War in Ukraine: The Clash of Norms and Ontologies.” </w:t>
      </w:r>
      <w:r w:rsidRPr="005662D8">
        <w:rPr>
          <w:rStyle w:val="Enfasicorsivo"/>
          <w:sz w:val="20"/>
          <w:szCs w:val="20"/>
          <w:lang w:val="en-US"/>
        </w:rPr>
        <w:t>Centre for Military and Strategic Studies</w:t>
      </w:r>
      <w:r w:rsidRPr="005662D8">
        <w:rPr>
          <w:sz w:val="20"/>
          <w:szCs w:val="20"/>
          <w:lang w:val="en-US"/>
        </w:rPr>
        <w:t xml:space="preserve"> 22 (2): 89–109.</w:t>
      </w:r>
    </w:p>
    <w:p w14:paraId="74FAA4D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Krolikowski, A.</w:t>
      </w:r>
      <w:r w:rsidRPr="005662D8">
        <w:rPr>
          <w:sz w:val="20"/>
          <w:szCs w:val="20"/>
          <w:lang w:val="en-US"/>
        </w:rPr>
        <w:t xml:space="preserve"> 2008. “State Personhood in Ontological Security Theories of International Relations and Chinese Nationalism: A Sceptical View.” </w:t>
      </w:r>
      <w:r w:rsidRPr="005662D8">
        <w:rPr>
          <w:rStyle w:val="Enfasicorsivo"/>
          <w:sz w:val="20"/>
          <w:szCs w:val="20"/>
          <w:lang w:val="en-US"/>
        </w:rPr>
        <w:t>The Chinese Journal of International Politics</w:t>
      </w:r>
      <w:r w:rsidRPr="005662D8">
        <w:rPr>
          <w:sz w:val="20"/>
          <w:szCs w:val="20"/>
          <w:lang w:val="en-US"/>
        </w:rPr>
        <w:t xml:space="preserve"> 2 (1): 109–33. </w:t>
      </w:r>
      <w:hyperlink r:id="rId175" w:history="1">
        <w:r w:rsidRPr="005662D8">
          <w:rPr>
            <w:rStyle w:val="Collegamentoipertestuale"/>
            <w:sz w:val="20"/>
            <w:szCs w:val="20"/>
            <w:lang w:val="en-US"/>
          </w:rPr>
          <w:t>https://doi.org/10.1093/cjip/pon003</w:t>
        </w:r>
      </w:hyperlink>
      <w:r w:rsidRPr="005662D8">
        <w:rPr>
          <w:sz w:val="20"/>
          <w:szCs w:val="20"/>
          <w:lang w:val="en-US"/>
        </w:rPr>
        <w:t>.</w:t>
      </w:r>
    </w:p>
    <w:p w14:paraId="4E91D39F" w14:textId="77777777" w:rsidR="00E9035E" w:rsidRPr="005662D8" w:rsidRDefault="00E9035E" w:rsidP="005662D8">
      <w:pPr>
        <w:spacing w:before="100" w:beforeAutospacing="1" w:after="100" w:afterAutospacing="1" w:line="240" w:lineRule="auto"/>
        <w:rPr>
          <w:sz w:val="20"/>
          <w:szCs w:val="20"/>
          <w:lang w:val="it-IT" w:eastAsia="it-IT"/>
        </w:rPr>
      </w:pPr>
      <w:r w:rsidRPr="005662D8">
        <w:rPr>
          <w:bCs/>
          <w:sz w:val="20"/>
          <w:szCs w:val="20"/>
          <w:lang w:eastAsia="it-IT"/>
        </w:rPr>
        <w:t>Kucera, Joshua.</w:t>
      </w:r>
      <w:r w:rsidRPr="005662D8">
        <w:rPr>
          <w:sz w:val="20"/>
          <w:szCs w:val="20"/>
          <w:lang w:eastAsia="it-IT"/>
        </w:rPr>
        <w:t xml:space="preserve"> 2015a. “As Protests Continue in Yerevan, Russia Concedes to Armenia on Soldier Murder Case.” </w:t>
      </w:r>
      <w:r w:rsidRPr="005662D8">
        <w:rPr>
          <w:i/>
          <w:iCs/>
          <w:sz w:val="20"/>
          <w:szCs w:val="20"/>
          <w:lang w:val="it-IT" w:eastAsia="it-IT"/>
        </w:rPr>
        <w:t>Eurasianet.</w:t>
      </w:r>
      <w:r w:rsidRPr="005662D8">
        <w:rPr>
          <w:sz w:val="20"/>
          <w:szCs w:val="20"/>
          <w:lang w:val="it-IT" w:eastAsia="it-IT"/>
        </w:rPr>
        <w:t xml:space="preserve"> </w:t>
      </w:r>
      <w:hyperlink r:id="rId176" w:tgtFrame="_new" w:history="1">
        <w:r w:rsidRPr="005662D8">
          <w:rPr>
            <w:color w:val="0000FF"/>
            <w:sz w:val="20"/>
            <w:szCs w:val="20"/>
            <w:u w:val="single"/>
            <w:lang w:val="it-IT" w:eastAsia="it-IT"/>
          </w:rPr>
          <w:t>https://eurasianet.org/as-protests-continue-in-yerevan-russia-concedes-to-armenia-on-soldier-murder-case</w:t>
        </w:r>
      </w:hyperlink>
      <w:r w:rsidRPr="005662D8">
        <w:rPr>
          <w:sz w:val="20"/>
          <w:szCs w:val="20"/>
          <w:lang w:val="it-IT" w:eastAsia="it-IT"/>
        </w:rPr>
        <w:t>.</w:t>
      </w:r>
    </w:p>
    <w:p w14:paraId="4B70519A" w14:textId="77777777" w:rsidR="00E9035E" w:rsidRPr="005662D8" w:rsidRDefault="00E9035E" w:rsidP="005662D8">
      <w:pPr>
        <w:pStyle w:val="NormaleWeb"/>
        <w:spacing w:line="240" w:lineRule="auto"/>
        <w:rPr>
          <w:sz w:val="20"/>
          <w:szCs w:val="20"/>
        </w:rPr>
      </w:pPr>
      <w:r w:rsidRPr="005662D8">
        <w:rPr>
          <w:sz w:val="20"/>
          <w:szCs w:val="20"/>
          <w:lang w:val="en-US"/>
        </w:rPr>
        <w:t xml:space="preserve">Kucera, Joshua. 2021. “Pashinyan Calls for Unification Between Armenia and Karabakh.” </w:t>
      </w:r>
      <w:r w:rsidRPr="005662D8">
        <w:rPr>
          <w:rStyle w:val="Enfasicorsivo"/>
          <w:sz w:val="20"/>
          <w:szCs w:val="20"/>
        </w:rPr>
        <w:t>Eurasianet</w:t>
      </w:r>
      <w:r w:rsidRPr="005662D8">
        <w:rPr>
          <w:sz w:val="20"/>
          <w:szCs w:val="20"/>
        </w:rPr>
        <w:t xml:space="preserve">. </w:t>
      </w:r>
      <w:hyperlink r:id="rId177" w:tgtFrame="_new" w:history="1">
        <w:r w:rsidRPr="005662D8">
          <w:rPr>
            <w:rStyle w:val="Collegamentoipertestuale"/>
            <w:sz w:val="20"/>
            <w:szCs w:val="20"/>
          </w:rPr>
          <w:t>https://eurasianet.org/pashinyan-calls-for-unification-between-armenia-and-karabakh</w:t>
        </w:r>
      </w:hyperlink>
    </w:p>
    <w:p w14:paraId="2EF76ECB" w14:textId="77777777" w:rsidR="00E9035E" w:rsidRPr="005662D8" w:rsidRDefault="00E9035E" w:rsidP="005662D8">
      <w:pPr>
        <w:pStyle w:val="NormaleWeb"/>
        <w:spacing w:line="240" w:lineRule="auto"/>
        <w:rPr>
          <w:sz w:val="20"/>
          <w:szCs w:val="20"/>
        </w:rPr>
      </w:pPr>
      <w:r w:rsidRPr="005662D8">
        <w:rPr>
          <w:sz w:val="20"/>
          <w:szCs w:val="20"/>
          <w:lang w:val="en-US"/>
        </w:rPr>
        <w:t xml:space="preserve">Kucera, Joshua. 2023. “Vardanyan’s Ouster Raises as Many Questions as His Arrival.” </w:t>
      </w:r>
      <w:r w:rsidRPr="00BE6C94">
        <w:rPr>
          <w:rStyle w:val="Enfasicorsivo"/>
          <w:sz w:val="20"/>
          <w:szCs w:val="20"/>
        </w:rPr>
        <w:t>Eurasianet</w:t>
      </w:r>
      <w:r w:rsidRPr="00BE6C94">
        <w:rPr>
          <w:sz w:val="20"/>
          <w:szCs w:val="20"/>
        </w:rPr>
        <w:t xml:space="preserve">. </w:t>
      </w:r>
      <w:hyperlink r:id="rId178" w:tgtFrame="_new" w:history="1">
        <w:r w:rsidRPr="005662D8">
          <w:rPr>
            <w:rStyle w:val="Collegamentoipertestuale"/>
            <w:sz w:val="20"/>
            <w:szCs w:val="20"/>
          </w:rPr>
          <w:t>https://eurasianet.org/vardanyans-ouster-raises-as-many-questions-as-his-arrival</w:t>
        </w:r>
      </w:hyperlink>
    </w:p>
    <w:p w14:paraId="65622029"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Kucherenko, Olga.</w:t>
      </w:r>
      <w:r w:rsidRPr="005662D8">
        <w:rPr>
          <w:sz w:val="20"/>
          <w:szCs w:val="20"/>
          <w:lang w:eastAsia="it-IT"/>
        </w:rPr>
        <w:t xml:space="preserve"> 2021. “Lend-Lease in War and Russian Memory.” In </w:t>
      </w:r>
      <w:r w:rsidRPr="005662D8">
        <w:rPr>
          <w:i/>
          <w:iCs/>
          <w:sz w:val="20"/>
          <w:szCs w:val="20"/>
          <w:lang w:eastAsia="it-IT"/>
        </w:rPr>
        <w:t>The Memory of the Second World War in Soviet and Post-Soviet Russia,</w:t>
      </w:r>
      <w:r w:rsidRPr="005662D8">
        <w:rPr>
          <w:sz w:val="20"/>
          <w:szCs w:val="20"/>
          <w:lang w:eastAsia="it-IT"/>
        </w:rPr>
        <w:t xml:space="preserve"> 155–80. Abingdon, Oxon, United Kingdom: Routledge.</w:t>
      </w:r>
    </w:p>
    <w:p w14:paraId="0078AA80"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Kulyk, Volodymyr.</w:t>
      </w:r>
      <w:r w:rsidRPr="005662D8">
        <w:rPr>
          <w:sz w:val="20"/>
          <w:szCs w:val="20"/>
          <w:lang w:eastAsia="it-IT"/>
        </w:rPr>
        <w:t xml:space="preserve"> 2014. “Ukrainian Nationalism since the Outbreak of Euromaidan.” </w:t>
      </w:r>
      <w:r w:rsidRPr="005662D8">
        <w:rPr>
          <w:i/>
          <w:iCs/>
          <w:sz w:val="20"/>
          <w:szCs w:val="20"/>
          <w:lang w:eastAsia="it-IT"/>
        </w:rPr>
        <w:t>Ab Imperio</w:t>
      </w:r>
      <w:r w:rsidRPr="005662D8">
        <w:rPr>
          <w:sz w:val="20"/>
          <w:szCs w:val="20"/>
          <w:lang w:eastAsia="it-IT"/>
        </w:rPr>
        <w:t xml:space="preserve"> 2014 (3): 94–122. </w:t>
      </w:r>
      <w:hyperlink r:id="rId179" w:history="1">
        <w:r w:rsidRPr="005662D8">
          <w:rPr>
            <w:rStyle w:val="Collegamentoipertestuale"/>
            <w:sz w:val="20"/>
            <w:szCs w:val="20"/>
            <w:lang w:eastAsia="it-IT"/>
          </w:rPr>
          <w:t>https://doi.org/10.1353/imp.2014.0064</w:t>
        </w:r>
      </w:hyperlink>
      <w:r w:rsidRPr="005662D8">
        <w:rPr>
          <w:sz w:val="20"/>
          <w:szCs w:val="20"/>
          <w:lang w:eastAsia="it-IT"/>
        </w:rPr>
        <w:t>.</w:t>
      </w:r>
    </w:p>
    <w:p w14:paraId="3031AFAA"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Kurowska, Xymena, and Berit de Guevara.</w:t>
      </w:r>
      <w:r w:rsidRPr="005662D8">
        <w:rPr>
          <w:sz w:val="20"/>
          <w:szCs w:val="20"/>
          <w:lang w:eastAsia="it-IT"/>
        </w:rPr>
        <w:t xml:space="preserve"> 2020. “Interpretive Approaches in Political Science and International Relations.” In </w:t>
      </w:r>
      <w:r w:rsidRPr="005662D8">
        <w:rPr>
          <w:i/>
          <w:iCs/>
          <w:sz w:val="20"/>
          <w:szCs w:val="20"/>
          <w:lang w:eastAsia="it-IT"/>
        </w:rPr>
        <w:t>The SAGE Handbook of Research Methods in Political Science and International Relations,</w:t>
      </w:r>
      <w:r w:rsidRPr="005662D8">
        <w:rPr>
          <w:sz w:val="20"/>
          <w:szCs w:val="20"/>
          <w:lang w:eastAsia="it-IT"/>
        </w:rPr>
        <w:t xml:space="preserve"> 1211–31. London, United Kingdom: SAGE.</w:t>
      </w:r>
    </w:p>
    <w:p w14:paraId="7D2CEB51"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Laffey, Mark, and Jutta Weldes.</w:t>
      </w:r>
      <w:r w:rsidRPr="005662D8">
        <w:rPr>
          <w:sz w:val="20"/>
          <w:szCs w:val="20"/>
          <w:lang w:eastAsia="it-IT"/>
        </w:rPr>
        <w:t xml:space="preserve"> 2004. “US Foreign Policy, Public Memory, and Autism: Representing September 11 and May 4.” </w:t>
      </w:r>
      <w:r w:rsidRPr="005662D8">
        <w:rPr>
          <w:i/>
          <w:iCs/>
          <w:sz w:val="20"/>
          <w:szCs w:val="20"/>
          <w:lang w:eastAsia="it-IT"/>
        </w:rPr>
        <w:t>Cambridge Review of International Affairs</w:t>
      </w:r>
      <w:r w:rsidRPr="005662D8">
        <w:rPr>
          <w:sz w:val="20"/>
          <w:szCs w:val="20"/>
          <w:lang w:eastAsia="it-IT"/>
        </w:rPr>
        <w:t xml:space="preserve"> 17 (2): 355–75. </w:t>
      </w:r>
      <w:hyperlink r:id="rId180" w:history="1">
        <w:r w:rsidRPr="005662D8">
          <w:rPr>
            <w:rStyle w:val="Collegamentoipertestuale"/>
            <w:sz w:val="20"/>
            <w:szCs w:val="20"/>
            <w:lang w:eastAsia="it-IT"/>
          </w:rPr>
          <w:t>https://doi.org/10.1080/0955757042000245942</w:t>
        </w:r>
      </w:hyperlink>
      <w:r w:rsidRPr="005662D8">
        <w:rPr>
          <w:sz w:val="20"/>
          <w:szCs w:val="20"/>
          <w:lang w:eastAsia="it-IT"/>
        </w:rPr>
        <w:t>.</w:t>
      </w:r>
    </w:p>
    <w:p w14:paraId="3F4C709C"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Laing, R. D.</w:t>
      </w:r>
      <w:r w:rsidRPr="005662D8">
        <w:rPr>
          <w:sz w:val="20"/>
          <w:szCs w:val="20"/>
          <w:lang w:eastAsia="it-IT"/>
        </w:rPr>
        <w:t xml:space="preserve"> 2010. </w:t>
      </w:r>
      <w:r w:rsidRPr="005662D8">
        <w:rPr>
          <w:i/>
          <w:iCs/>
          <w:sz w:val="20"/>
          <w:szCs w:val="20"/>
          <w:lang w:eastAsia="it-IT"/>
        </w:rPr>
        <w:t>The Divided Self: An Existential Study in Sanity and Madness.</w:t>
      </w:r>
      <w:r w:rsidRPr="005662D8">
        <w:rPr>
          <w:sz w:val="20"/>
          <w:szCs w:val="20"/>
          <w:lang w:eastAsia="it-IT"/>
        </w:rPr>
        <w:t xml:space="preserve"> London, United Kingdom: Penguin.</w:t>
      </w:r>
    </w:p>
    <w:p w14:paraId="7288DB5F"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Lamont, Michèle, and Ann Swidler.</w:t>
      </w:r>
      <w:r w:rsidRPr="005662D8">
        <w:rPr>
          <w:sz w:val="20"/>
          <w:szCs w:val="20"/>
          <w:lang w:eastAsia="it-IT"/>
        </w:rPr>
        <w:t xml:space="preserve"> 2014. “Methodological Pluralism and the Possibilities and Limits of Interviewing.” </w:t>
      </w:r>
      <w:r w:rsidRPr="005662D8">
        <w:rPr>
          <w:i/>
          <w:iCs/>
          <w:sz w:val="20"/>
          <w:szCs w:val="20"/>
          <w:lang w:eastAsia="it-IT"/>
        </w:rPr>
        <w:t>Qualitative Sociology</w:t>
      </w:r>
      <w:r w:rsidRPr="005662D8">
        <w:rPr>
          <w:sz w:val="20"/>
          <w:szCs w:val="20"/>
          <w:lang w:eastAsia="it-IT"/>
        </w:rPr>
        <w:t xml:space="preserve"> 37 (2): 153–71. </w:t>
      </w:r>
      <w:hyperlink r:id="rId181" w:history="1">
        <w:r w:rsidRPr="005662D8">
          <w:rPr>
            <w:rStyle w:val="Collegamentoipertestuale"/>
            <w:sz w:val="20"/>
            <w:szCs w:val="20"/>
            <w:lang w:eastAsia="it-IT"/>
          </w:rPr>
          <w:t>https://doi.org/10.1007/s11133-014-9274-z</w:t>
        </w:r>
      </w:hyperlink>
      <w:r w:rsidRPr="005662D8">
        <w:rPr>
          <w:sz w:val="20"/>
          <w:szCs w:val="20"/>
          <w:lang w:eastAsia="it-IT"/>
        </w:rPr>
        <w:t>.</w:t>
      </w:r>
    </w:p>
    <w:p w14:paraId="0754CF64"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Landgraf, Walter, and Nareg Seferian.</w:t>
      </w:r>
      <w:r w:rsidRPr="005662D8">
        <w:rPr>
          <w:sz w:val="20"/>
          <w:szCs w:val="20"/>
          <w:lang w:eastAsia="it-IT"/>
        </w:rPr>
        <w:t xml:space="preserve"> 2024. “A ‘Frozen Conflict’ Boils Over: Nagorno-Karabakh in 2023 and Future Implications.” </w:t>
      </w:r>
      <w:r w:rsidRPr="005662D8">
        <w:rPr>
          <w:i/>
          <w:iCs/>
          <w:sz w:val="20"/>
          <w:szCs w:val="20"/>
          <w:lang w:eastAsia="it-IT"/>
        </w:rPr>
        <w:t>Eurasia Program at the Foreign Policy Research Institute,</w:t>
      </w:r>
      <w:r w:rsidRPr="005662D8">
        <w:rPr>
          <w:sz w:val="20"/>
          <w:szCs w:val="20"/>
          <w:lang w:eastAsia="it-IT"/>
        </w:rPr>
        <w:t xml:space="preserve"> 1–40.</w:t>
      </w:r>
    </w:p>
    <w:p w14:paraId="5BA4D6D0"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Langenbacher, Eric, and Yossi Shain.</w:t>
      </w:r>
      <w:r w:rsidRPr="005662D8">
        <w:rPr>
          <w:sz w:val="20"/>
          <w:szCs w:val="20"/>
          <w:lang w:eastAsia="it-IT"/>
        </w:rPr>
        <w:t xml:space="preserve"> 2006. </w:t>
      </w:r>
      <w:r w:rsidRPr="005662D8">
        <w:rPr>
          <w:i/>
          <w:iCs/>
          <w:sz w:val="20"/>
          <w:szCs w:val="20"/>
          <w:lang w:eastAsia="it-IT"/>
        </w:rPr>
        <w:t>Power and the Past: Collective Memory and International Relations.</w:t>
      </w:r>
      <w:r w:rsidRPr="005662D8">
        <w:rPr>
          <w:sz w:val="20"/>
          <w:szCs w:val="20"/>
          <w:lang w:eastAsia="it-IT"/>
        </w:rPr>
        <w:t xml:space="preserve"> Washington, D.C., United States: Georgetown University Press.</w:t>
      </w:r>
    </w:p>
    <w:p w14:paraId="5DD1DF33"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Larson, Deborah Welch, and Aleksei Shevchenko.</w:t>
      </w:r>
      <w:r w:rsidRPr="005662D8">
        <w:rPr>
          <w:sz w:val="20"/>
          <w:szCs w:val="20"/>
          <w:lang w:eastAsia="it-IT"/>
        </w:rPr>
        <w:t xml:space="preserve"> 2019. </w:t>
      </w:r>
      <w:r w:rsidRPr="005662D8">
        <w:rPr>
          <w:i/>
          <w:iCs/>
          <w:sz w:val="20"/>
          <w:szCs w:val="20"/>
          <w:lang w:eastAsia="it-IT"/>
        </w:rPr>
        <w:t>Quest for Status: Chinese and Russian Foreign Policy.</w:t>
      </w:r>
      <w:r w:rsidRPr="005662D8">
        <w:rPr>
          <w:sz w:val="20"/>
          <w:szCs w:val="20"/>
          <w:lang w:eastAsia="it-IT"/>
        </w:rPr>
        <w:t xml:space="preserve"> New Haven, United States: Yale University Press.</w:t>
      </w:r>
    </w:p>
    <w:p w14:paraId="576C881C"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Larson, Deborah Welch.</w:t>
      </w:r>
      <w:r w:rsidRPr="005662D8">
        <w:rPr>
          <w:sz w:val="20"/>
          <w:szCs w:val="20"/>
          <w:lang w:eastAsia="it-IT"/>
        </w:rPr>
        <w:t xml:space="preserve"> 2019. “An Equal Partnership of Unequals: China’s and Russia’s New Status Relationship.” </w:t>
      </w:r>
      <w:r w:rsidRPr="005662D8">
        <w:rPr>
          <w:i/>
          <w:iCs/>
          <w:sz w:val="20"/>
          <w:szCs w:val="20"/>
          <w:lang w:eastAsia="it-IT"/>
        </w:rPr>
        <w:t>International Politics</w:t>
      </w:r>
      <w:r w:rsidRPr="005662D8">
        <w:rPr>
          <w:sz w:val="20"/>
          <w:szCs w:val="20"/>
          <w:lang w:eastAsia="it-IT"/>
        </w:rPr>
        <w:t xml:space="preserve"> 57 (5): 790–808. </w:t>
      </w:r>
      <w:hyperlink r:id="rId182" w:history="1">
        <w:r w:rsidRPr="005662D8">
          <w:rPr>
            <w:rStyle w:val="Collegamentoipertestuale"/>
            <w:sz w:val="20"/>
            <w:szCs w:val="20"/>
            <w:lang w:eastAsia="it-IT"/>
          </w:rPr>
          <w:t>https://doi.org/10.1057/s41311-019-00177-9</w:t>
        </w:r>
      </w:hyperlink>
      <w:r w:rsidRPr="005662D8">
        <w:rPr>
          <w:sz w:val="20"/>
          <w:szCs w:val="20"/>
          <w:lang w:eastAsia="it-IT"/>
        </w:rPr>
        <w:t>.</w:t>
      </w:r>
    </w:p>
    <w:p w14:paraId="79AE792E"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Laruelle, Marlène.</w:t>
      </w:r>
      <w:r w:rsidRPr="005662D8">
        <w:rPr>
          <w:sz w:val="20"/>
          <w:szCs w:val="20"/>
          <w:lang w:eastAsia="it-IT"/>
        </w:rPr>
        <w:t xml:space="preserve"> 2009a. </w:t>
      </w:r>
      <w:r w:rsidRPr="005662D8">
        <w:rPr>
          <w:i/>
          <w:iCs/>
          <w:sz w:val="20"/>
          <w:szCs w:val="20"/>
          <w:lang w:eastAsia="it-IT"/>
        </w:rPr>
        <w:t>In the Name of the Nation: Nationalism and Politics in Contemporary Russia.</w:t>
      </w:r>
      <w:r w:rsidRPr="005662D8">
        <w:rPr>
          <w:sz w:val="20"/>
          <w:szCs w:val="20"/>
          <w:lang w:eastAsia="it-IT"/>
        </w:rPr>
        <w:t xml:space="preserve"> New York, United States: Palgrave Macmillan.</w:t>
      </w:r>
    </w:p>
    <w:p w14:paraId="356BBFD7"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Laruelle, Marlene.</w:t>
      </w:r>
      <w:r w:rsidRPr="005662D8">
        <w:rPr>
          <w:sz w:val="20"/>
          <w:szCs w:val="20"/>
          <w:lang w:eastAsia="it-IT"/>
        </w:rPr>
        <w:t xml:space="preserve"> 2015. “Russia as a ‘Divided Nation,’ from Compatriots to Crimea: A Contribution to the Discussion on Nationalism and Foreign Policy.” </w:t>
      </w:r>
      <w:r w:rsidRPr="005662D8">
        <w:rPr>
          <w:i/>
          <w:iCs/>
          <w:sz w:val="20"/>
          <w:szCs w:val="20"/>
          <w:lang w:eastAsia="it-IT"/>
        </w:rPr>
        <w:t>Problems of Post-Communism</w:t>
      </w:r>
      <w:r w:rsidRPr="005662D8">
        <w:rPr>
          <w:sz w:val="20"/>
          <w:szCs w:val="20"/>
          <w:lang w:eastAsia="it-IT"/>
        </w:rPr>
        <w:t xml:space="preserve"> 62 (2): 88–97. </w:t>
      </w:r>
      <w:hyperlink r:id="rId183" w:history="1">
        <w:r w:rsidRPr="005662D8">
          <w:rPr>
            <w:rStyle w:val="Collegamentoipertestuale"/>
            <w:sz w:val="20"/>
            <w:szCs w:val="20"/>
            <w:lang w:eastAsia="it-IT"/>
          </w:rPr>
          <w:t>https://doi.org/10.1080/10758216.2015.1010902</w:t>
        </w:r>
      </w:hyperlink>
      <w:r w:rsidRPr="005662D8">
        <w:rPr>
          <w:sz w:val="20"/>
          <w:szCs w:val="20"/>
          <w:lang w:eastAsia="it-IT"/>
        </w:rPr>
        <w:t>.</w:t>
      </w:r>
    </w:p>
    <w:p w14:paraId="01AB64C4"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Layton, Susan.</w:t>
      </w:r>
      <w:r w:rsidRPr="005662D8">
        <w:rPr>
          <w:sz w:val="20"/>
          <w:szCs w:val="20"/>
          <w:lang w:eastAsia="it-IT"/>
        </w:rPr>
        <w:t xml:space="preserve"> 1995. </w:t>
      </w:r>
      <w:r w:rsidRPr="005662D8">
        <w:rPr>
          <w:i/>
          <w:iCs/>
          <w:sz w:val="20"/>
          <w:szCs w:val="20"/>
          <w:lang w:eastAsia="it-IT"/>
        </w:rPr>
        <w:t>Russian Literature and Empire: Conquest of the Caucasus from Pushkin to Tolstoy.</w:t>
      </w:r>
      <w:r w:rsidRPr="005662D8">
        <w:rPr>
          <w:sz w:val="20"/>
          <w:szCs w:val="20"/>
          <w:lang w:eastAsia="it-IT"/>
        </w:rPr>
        <w:t xml:space="preserve"> Cambridge, United Kingdom: Cambridge University Press.</w:t>
      </w:r>
    </w:p>
    <w:p w14:paraId="27455586"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Lee, Raymond M.</w:t>
      </w:r>
      <w:r w:rsidRPr="005662D8">
        <w:rPr>
          <w:sz w:val="20"/>
          <w:szCs w:val="20"/>
          <w:lang w:eastAsia="it-IT"/>
        </w:rPr>
        <w:t xml:space="preserve"> 2000. </w:t>
      </w:r>
      <w:r w:rsidRPr="005662D8">
        <w:rPr>
          <w:i/>
          <w:iCs/>
          <w:sz w:val="20"/>
          <w:szCs w:val="20"/>
          <w:lang w:eastAsia="it-IT"/>
        </w:rPr>
        <w:t>Unobtrusive Methods in Social Research.</w:t>
      </w:r>
      <w:r w:rsidRPr="005662D8">
        <w:rPr>
          <w:sz w:val="20"/>
          <w:szCs w:val="20"/>
          <w:lang w:eastAsia="it-IT"/>
        </w:rPr>
        <w:t xml:space="preserve"> Buckingham, England: Open University Press.</w:t>
      </w:r>
    </w:p>
    <w:p w14:paraId="29EEB081"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Leichtova, Magda.</w:t>
      </w:r>
      <w:r w:rsidRPr="005662D8">
        <w:rPr>
          <w:sz w:val="20"/>
          <w:szCs w:val="20"/>
          <w:lang w:eastAsia="it-IT"/>
        </w:rPr>
        <w:t xml:space="preserve"> 2016. </w:t>
      </w:r>
      <w:r w:rsidRPr="005662D8">
        <w:rPr>
          <w:i/>
          <w:iCs/>
          <w:sz w:val="20"/>
          <w:szCs w:val="20"/>
          <w:lang w:eastAsia="it-IT"/>
        </w:rPr>
        <w:t>Misunderstanding Russia: Russian Foreign Policy and the West.</w:t>
      </w:r>
      <w:r w:rsidRPr="005662D8">
        <w:rPr>
          <w:sz w:val="20"/>
          <w:szCs w:val="20"/>
          <w:lang w:eastAsia="it-IT"/>
        </w:rPr>
        <w:t xml:space="preserve"> London, United Kingdom: Routledge.</w:t>
      </w:r>
    </w:p>
    <w:p w14:paraId="44F5FF88"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Levy, Becca, and Ellen Langer.</w:t>
      </w:r>
      <w:r w:rsidRPr="005662D8">
        <w:rPr>
          <w:sz w:val="20"/>
          <w:szCs w:val="20"/>
          <w:lang w:eastAsia="it-IT"/>
        </w:rPr>
        <w:t xml:space="preserve"> 1994. “Aging Free from Negative Stereotypes: Successful Memory in China among the American Deaf.” </w:t>
      </w:r>
      <w:r w:rsidRPr="005662D8">
        <w:rPr>
          <w:i/>
          <w:iCs/>
          <w:sz w:val="20"/>
          <w:szCs w:val="20"/>
          <w:lang w:eastAsia="it-IT"/>
        </w:rPr>
        <w:t>Journal of Personality and Social Psychology</w:t>
      </w:r>
      <w:r w:rsidRPr="005662D8">
        <w:rPr>
          <w:sz w:val="20"/>
          <w:szCs w:val="20"/>
          <w:lang w:eastAsia="it-IT"/>
        </w:rPr>
        <w:t xml:space="preserve"> 66 (6): 989–97. </w:t>
      </w:r>
      <w:hyperlink r:id="rId184" w:history="1">
        <w:r w:rsidRPr="005662D8">
          <w:rPr>
            <w:rStyle w:val="Collegamentoipertestuale"/>
            <w:sz w:val="20"/>
            <w:szCs w:val="20"/>
            <w:lang w:eastAsia="it-IT"/>
          </w:rPr>
          <w:t>https://doi.org/10.1037/0022-3514.66.6.989</w:t>
        </w:r>
      </w:hyperlink>
      <w:r w:rsidRPr="005662D8">
        <w:rPr>
          <w:sz w:val="20"/>
          <w:szCs w:val="20"/>
          <w:lang w:eastAsia="it-IT"/>
        </w:rPr>
        <w:t>.</w:t>
      </w:r>
    </w:p>
    <w:p w14:paraId="2C58E6DD"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Levy, Jack S.</w:t>
      </w:r>
      <w:r w:rsidRPr="005662D8">
        <w:rPr>
          <w:sz w:val="20"/>
          <w:szCs w:val="20"/>
          <w:lang w:eastAsia="it-IT"/>
        </w:rPr>
        <w:t xml:space="preserve"> 1982. “Historical Trends in Great Power War, 1495–1975.” </w:t>
      </w:r>
      <w:r w:rsidRPr="005662D8">
        <w:rPr>
          <w:i/>
          <w:iCs/>
          <w:sz w:val="20"/>
          <w:szCs w:val="20"/>
          <w:lang w:eastAsia="it-IT"/>
        </w:rPr>
        <w:t>International Studies Quarterly</w:t>
      </w:r>
      <w:r w:rsidRPr="005662D8">
        <w:rPr>
          <w:sz w:val="20"/>
          <w:szCs w:val="20"/>
          <w:lang w:eastAsia="it-IT"/>
        </w:rPr>
        <w:t xml:space="preserve"> 26 (2): 278–300. </w:t>
      </w:r>
      <w:hyperlink r:id="rId185" w:history="1">
        <w:r w:rsidRPr="005662D8">
          <w:rPr>
            <w:rStyle w:val="Collegamentoipertestuale"/>
            <w:sz w:val="20"/>
            <w:szCs w:val="20"/>
            <w:lang w:eastAsia="it-IT"/>
          </w:rPr>
          <w:t>https://doi.org/10.2307/2600652</w:t>
        </w:r>
      </w:hyperlink>
      <w:r w:rsidRPr="005662D8">
        <w:rPr>
          <w:sz w:val="20"/>
          <w:szCs w:val="20"/>
          <w:lang w:eastAsia="it-IT"/>
        </w:rPr>
        <w:t>.</w:t>
      </w:r>
    </w:p>
    <w:p w14:paraId="699D79AF"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Libaridian, Gerard J.</w:t>
      </w:r>
      <w:r w:rsidRPr="005662D8">
        <w:rPr>
          <w:sz w:val="20"/>
          <w:szCs w:val="20"/>
          <w:lang w:eastAsia="it-IT"/>
        </w:rPr>
        <w:t xml:space="preserve"> 2017. </w:t>
      </w:r>
      <w:r w:rsidRPr="005662D8">
        <w:rPr>
          <w:i/>
          <w:iCs/>
          <w:sz w:val="20"/>
          <w:szCs w:val="20"/>
          <w:lang w:eastAsia="it-IT"/>
        </w:rPr>
        <w:t>Modern Armenia: People, Nation, State.</w:t>
      </w:r>
      <w:r w:rsidRPr="005662D8">
        <w:rPr>
          <w:sz w:val="20"/>
          <w:szCs w:val="20"/>
          <w:lang w:eastAsia="it-IT"/>
        </w:rPr>
        <w:t xml:space="preserve"> London, United Kingdom: Routledge.</w:t>
      </w:r>
    </w:p>
    <w:p w14:paraId="595220C4" w14:textId="77777777" w:rsidR="00E9035E" w:rsidRPr="005662D8" w:rsidRDefault="00E9035E" w:rsidP="005662D8">
      <w:pPr>
        <w:spacing w:line="240" w:lineRule="auto"/>
        <w:rPr>
          <w:sz w:val="20"/>
          <w:szCs w:val="20"/>
          <w:lang w:eastAsia="it-IT"/>
        </w:rPr>
      </w:pPr>
      <w:r w:rsidRPr="005662D8">
        <w:rPr>
          <w:bCs/>
          <w:sz w:val="20"/>
          <w:szCs w:val="20"/>
          <w:lang w:eastAsia="it-IT"/>
        </w:rPr>
        <w:t>Lupovici, Amir.</w:t>
      </w:r>
      <w:r w:rsidRPr="005662D8">
        <w:rPr>
          <w:sz w:val="20"/>
          <w:szCs w:val="20"/>
          <w:lang w:eastAsia="it-IT"/>
        </w:rPr>
        <w:t xml:space="preserve"> 2012. “Ontological Dissonance, Clashing Identities, and Israel’s Unilateral Steps towards the Palestinians.” </w:t>
      </w:r>
      <w:r w:rsidRPr="005662D8">
        <w:rPr>
          <w:i/>
          <w:iCs/>
          <w:sz w:val="20"/>
          <w:szCs w:val="20"/>
          <w:lang w:eastAsia="it-IT"/>
        </w:rPr>
        <w:t>Review of International Studies</w:t>
      </w:r>
      <w:r w:rsidRPr="005662D8">
        <w:rPr>
          <w:sz w:val="20"/>
          <w:szCs w:val="20"/>
          <w:lang w:eastAsia="it-IT"/>
        </w:rPr>
        <w:t xml:space="preserve"> 38 (4): 809–33. </w:t>
      </w:r>
      <w:hyperlink r:id="rId186" w:tgtFrame="_new" w:history="1">
        <w:r w:rsidRPr="005662D8">
          <w:rPr>
            <w:color w:val="0000FF"/>
            <w:sz w:val="20"/>
            <w:szCs w:val="20"/>
            <w:u w:val="single"/>
            <w:lang w:eastAsia="it-IT"/>
          </w:rPr>
          <w:t>https://doi.org/10.1017/S0260210511000222</w:t>
        </w:r>
      </w:hyperlink>
      <w:r w:rsidRPr="005662D8">
        <w:rPr>
          <w:sz w:val="20"/>
          <w:szCs w:val="20"/>
          <w:lang w:eastAsia="it-IT"/>
        </w:rPr>
        <w:t>.</w:t>
      </w:r>
    </w:p>
    <w:p w14:paraId="3EBFD226"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Lynch, Allen C.</w:t>
      </w:r>
      <w:r w:rsidRPr="005662D8">
        <w:rPr>
          <w:sz w:val="20"/>
          <w:szCs w:val="20"/>
          <w:lang w:eastAsia="it-IT"/>
        </w:rPr>
        <w:t xml:space="preserve"> 2001. “The Realism of Russia’s Foreign Policy.” </w:t>
      </w:r>
      <w:r w:rsidRPr="005662D8">
        <w:rPr>
          <w:i/>
          <w:iCs/>
          <w:sz w:val="20"/>
          <w:szCs w:val="20"/>
          <w:lang w:eastAsia="it-IT"/>
        </w:rPr>
        <w:t>Europe-Asia Studies</w:t>
      </w:r>
      <w:r w:rsidRPr="005662D8">
        <w:rPr>
          <w:sz w:val="20"/>
          <w:szCs w:val="20"/>
          <w:lang w:eastAsia="it-IT"/>
        </w:rPr>
        <w:t xml:space="preserve"> 53 (1): 7–31. </w:t>
      </w:r>
      <w:hyperlink r:id="rId187" w:history="1">
        <w:r w:rsidRPr="005662D8">
          <w:rPr>
            <w:rStyle w:val="Collegamentoipertestuale"/>
            <w:sz w:val="20"/>
            <w:szCs w:val="20"/>
            <w:lang w:eastAsia="it-IT"/>
          </w:rPr>
          <w:t>https://doi.org/10.1080/09668130124714</w:t>
        </w:r>
      </w:hyperlink>
      <w:r w:rsidRPr="005662D8">
        <w:rPr>
          <w:sz w:val="20"/>
          <w:szCs w:val="20"/>
          <w:lang w:eastAsia="it-IT"/>
        </w:rPr>
        <w:t>.</w:t>
      </w:r>
    </w:p>
    <w:p w14:paraId="5FEDD890"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Lynch, Dov.</w:t>
      </w:r>
      <w:r w:rsidRPr="005662D8">
        <w:rPr>
          <w:sz w:val="20"/>
          <w:szCs w:val="20"/>
          <w:lang w:eastAsia="it-IT"/>
        </w:rPr>
        <w:t xml:space="preserve"> 2006. “Why Georgia Matters.” </w:t>
      </w:r>
      <w:r w:rsidRPr="005662D8">
        <w:rPr>
          <w:i/>
          <w:iCs/>
          <w:sz w:val="20"/>
          <w:szCs w:val="20"/>
          <w:lang w:eastAsia="it-IT"/>
        </w:rPr>
        <w:t>Institute for Security Studies,</w:t>
      </w:r>
      <w:r w:rsidRPr="005662D8">
        <w:rPr>
          <w:sz w:val="20"/>
          <w:szCs w:val="20"/>
          <w:lang w:eastAsia="it-IT"/>
        </w:rPr>
        <w:t xml:space="preserve"> 5–89.</w:t>
      </w:r>
    </w:p>
    <w:p w14:paraId="429A0792"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Makarychev, Andrey S.</w:t>
      </w:r>
      <w:r w:rsidRPr="005662D8">
        <w:rPr>
          <w:sz w:val="20"/>
          <w:szCs w:val="20"/>
          <w:lang w:eastAsia="it-IT"/>
        </w:rPr>
        <w:t xml:space="preserve"> 2008. “Russia’s Search for International Identity through the Sovereign Democracy Concept.” </w:t>
      </w:r>
      <w:r w:rsidRPr="005662D8">
        <w:rPr>
          <w:i/>
          <w:iCs/>
          <w:sz w:val="20"/>
          <w:szCs w:val="20"/>
          <w:lang w:eastAsia="it-IT"/>
        </w:rPr>
        <w:t>The International Spectator</w:t>
      </w:r>
      <w:r w:rsidRPr="005662D8">
        <w:rPr>
          <w:sz w:val="20"/>
          <w:szCs w:val="20"/>
          <w:lang w:eastAsia="it-IT"/>
        </w:rPr>
        <w:t xml:space="preserve"> 43 (2): 49–62. </w:t>
      </w:r>
      <w:hyperlink r:id="rId188" w:history="1">
        <w:r w:rsidRPr="005662D8">
          <w:rPr>
            <w:rStyle w:val="Collegamentoipertestuale"/>
            <w:sz w:val="20"/>
            <w:szCs w:val="20"/>
            <w:lang w:eastAsia="it-IT"/>
          </w:rPr>
          <w:t>https://doi.org/10.1080/03932720802057125</w:t>
        </w:r>
      </w:hyperlink>
      <w:r w:rsidRPr="005662D8">
        <w:rPr>
          <w:sz w:val="20"/>
          <w:szCs w:val="20"/>
          <w:lang w:eastAsia="it-IT"/>
        </w:rPr>
        <w:t>.</w:t>
      </w:r>
    </w:p>
    <w:p w14:paraId="2A213E2A"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Malinova, Olga.</w:t>
      </w:r>
      <w:r w:rsidRPr="005662D8">
        <w:rPr>
          <w:sz w:val="20"/>
          <w:szCs w:val="20"/>
          <w:lang w:eastAsia="it-IT"/>
        </w:rPr>
        <w:t xml:space="preserve"> 2017a. “Political Uses of the Great Patriotic War in Post-Soviet Russia from Yeltsin to Putin.” In </w:t>
      </w:r>
      <w:r w:rsidRPr="005662D8">
        <w:rPr>
          <w:i/>
          <w:iCs/>
          <w:sz w:val="20"/>
          <w:szCs w:val="20"/>
          <w:lang w:eastAsia="it-IT"/>
        </w:rPr>
        <w:t>War and Memory in Russia, Ukraine and Belarus,</w:t>
      </w:r>
      <w:r w:rsidRPr="005662D8">
        <w:rPr>
          <w:sz w:val="20"/>
          <w:szCs w:val="20"/>
          <w:lang w:eastAsia="it-IT"/>
        </w:rPr>
        <w:t xml:space="preserve"> 43–70. Cham, Germany: Palgrave Macmillan.</w:t>
      </w:r>
    </w:p>
    <w:p w14:paraId="585A87B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Mälksoo, Maria.</w:t>
      </w:r>
      <w:r w:rsidRPr="005662D8">
        <w:rPr>
          <w:sz w:val="20"/>
          <w:szCs w:val="20"/>
          <w:lang w:val="en-US"/>
        </w:rPr>
        <w:t xml:space="preserve"> 2015. “‘Memory Must Be Defended’: Beyond the Politics of Mnemonical Security.” </w:t>
      </w:r>
      <w:r w:rsidRPr="005662D8">
        <w:rPr>
          <w:rStyle w:val="Enfasicorsivo"/>
          <w:sz w:val="20"/>
          <w:szCs w:val="20"/>
          <w:lang w:val="en-US"/>
        </w:rPr>
        <w:t>Security Dialogue</w:t>
      </w:r>
      <w:r w:rsidRPr="005662D8">
        <w:rPr>
          <w:sz w:val="20"/>
          <w:szCs w:val="20"/>
          <w:lang w:val="en-US"/>
        </w:rPr>
        <w:t xml:space="preserve"> 46 (3): 221–37. https://doi.org/10.1177/0967010614552549.</w:t>
      </w:r>
    </w:p>
    <w:p w14:paraId="2415ECC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Mankoff, Jeffrey, and Andrew C. Kuchins. 2012.</w:t>
      </w:r>
      <w:r w:rsidRPr="005662D8">
        <w:rPr>
          <w:sz w:val="20"/>
          <w:szCs w:val="20"/>
          <w:lang w:val="en-US"/>
        </w:rPr>
        <w:t xml:space="preserve"> </w:t>
      </w:r>
      <w:r w:rsidRPr="005662D8">
        <w:rPr>
          <w:rStyle w:val="Enfasicorsivo"/>
          <w:sz w:val="20"/>
          <w:szCs w:val="20"/>
          <w:lang w:val="en-US"/>
        </w:rPr>
        <w:t>The Big Caucasus: Between Fragmentation and Integration.</w:t>
      </w:r>
      <w:r w:rsidRPr="005662D8">
        <w:rPr>
          <w:sz w:val="20"/>
          <w:szCs w:val="20"/>
          <w:lang w:val="en-US"/>
        </w:rPr>
        <w:t xml:space="preserve"> Washington, DC, United States: Center for Strategic and International Studies.</w:t>
      </w:r>
    </w:p>
    <w:p w14:paraId="782A1C1B"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Mankoff, Jeffrey.</w:t>
      </w:r>
      <w:r w:rsidRPr="005662D8">
        <w:rPr>
          <w:sz w:val="20"/>
          <w:szCs w:val="20"/>
          <w:lang w:eastAsia="it-IT"/>
        </w:rPr>
        <w:t xml:space="preserve"> 2009. </w:t>
      </w:r>
      <w:r w:rsidRPr="005662D8">
        <w:rPr>
          <w:i/>
          <w:iCs/>
          <w:sz w:val="20"/>
          <w:szCs w:val="20"/>
          <w:lang w:eastAsia="it-IT"/>
        </w:rPr>
        <w:t>Russian Foreign Policy: The Return of Great Power Politics.</w:t>
      </w:r>
      <w:r w:rsidRPr="005662D8">
        <w:rPr>
          <w:sz w:val="20"/>
          <w:szCs w:val="20"/>
          <w:lang w:eastAsia="it-IT"/>
        </w:rPr>
        <w:t xml:space="preserve"> Lanham, United Kingdom: Rowman &amp; Littlefield.</w:t>
      </w:r>
    </w:p>
    <w:p w14:paraId="02853B63"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Maresca, John J.</w:t>
      </w:r>
      <w:r w:rsidRPr="005662D8">
        <w:rPr>
          <w:sz w:val="20"/>
          <w:szCs w:val="20"/>
          <w:lang w:eastAsia="it-IT"/>
        </w:rPr>
        <w:t xml:space="preserve"> 1996. “Why an OSCE Role in the Caucasus?” </w:t>
      </w:r>
      <w:r w:rsidRPr="005662D8">
        <w:rPr>
          <w:i/>
          <w:iCs/>
          <w:sz w:val="20"/>
          <w:szCs w:val="20"/>
          <w:lang w:eastAsia="it-IT"/>
        </w:rPr>
        <w:t>Security Dialogue</w:t>
      </w:r>
      <w:r w:rsidRPr="005662D8">
        <w:rPr>
          <w:sz w:val="20"/>
          <w:szCs w:val="20"/>
          <w:lang w:eastAsia="it-IT"/>
        </w:rPr>
        <w:t xml:space="preserve"> 27 (1): 87–90. </w:t>
      </w:r>
      <w:hyperlink r:id="rId189" w:history="1">
        <w:r w:rsidRPr="005662D8">
          <w:rPr>
            <w:rStyle w:val="Collegamentoipertestuale"/>
            <w:sz w:val="20"/>
            <w:szCs w:val="20"/>
            <w:lang w:eastAsia="it-IT"/>
          </w:rPr>
          <w:t>https://doi.org/10.1177/0967010696027001011</w:t>
        </w:r>
      </w:hyperlink>
      <w:r w:rsidRPr="005662D8">
        <w:rPr>
          <w:sz w:val="20"/>
          <w:szCs w:val="20"/>
          <w:lang w:eastAsia="it-IT"/>
        </w:rPr>
        <w:t>.</w:t>
      </w:r>
    </w:p>
    <w:p w14:paraId="4C43F6F1"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Markedonov, Sergei.</w:t>
      </w:r>
      <w:r w:rsidRPr="005662D8">
        <w:rPr>
          <w:sz w:val="20"/>
          <w:szCs w:val="20"/>
          <w:lang w:eastAsia="it-IT"/>
        </w:rPr>
        <w:t xml:space="preserve"> 2017. “Why Tensions in the South Caucasus Remain Unresolved.” </w:t>
      </w:r>
      <w:r w:rsidRPr="005662D8">
        <w:rPr>
          <w:i/>
          <w:iCs/>
          <w:sz w:val="20"/>
          <w:szCs w:val="20"/>
          <w:lang w:eastAsia="it-IT"/>
        </w:rPr>
        <w:t>PONARS Eurasia Policy Memo</w:t>
      </w:r>
      <w:r w:rsidRPr="005662D8">
        <w:rPr>
          <w:sz w:val="20"/>
          <w:szCs w:val="20"/>
          <w:lang w:eastAsia="it-IT"/>
        </w:rPr>
        <w:t xml:space="preserve"> 465.</w:t>
      </w:r>
    </w:p>
    <w:p w14:paraId="66655B4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Markedonov, Sergey. 2018.</w:t>
      </w:r>
      <w:r w:rsidRPr="005662D8">
        <w:rPr>
          <w:sz w:val="20"/>
          <w:szCs w:val="20"/>
          <w:lang w:val="en-US"/>
        </w:rPr>
        <w:t xml:space="preserve"> “Russia and the Nagorno-Karabakh Conflict: A Careful Balancing.” </w:t>
      </w:r>
      <w:r w:rsidRPr="005662D8">
        <w:rPr>
          <w:rStyle w:val="Enfasicorsivo"/>
          <w:sz w:val="20"/>
          <w:szCs w:val="20"/>
          <w:lang w:val="en-US"/>
        </w:rPr>
        <w:t>ISPI Policy Papers</w:t>
      </w:r>
      <w:r w:rsidRPr="005662D8">
        <w:rPr>
          <w:sz w:val="20"/>
          <w:szCs w:val="20"/>
          <w:lang w:val="en-US"/>
        </w:rPr>
        <w:t>, 1–3.</w:t>
      </w:r>
    </w:p>
    <w:p w14:paraId="596CDBC9"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Markosyan, Gayane.</w:t>
      </w:r>
      <w:r w:rsidRPr="005662D8">
        <w:rPr>
          <w:sz w:val="20"/>
          <w:szCs w:val="20"/>
          <w:lang w:eastAsia="it-IT"/>
        </w:rPr>
        <w:t xml:space="preserve"> 2023. “Armenia’s Energy Security Faces Frosty Relations with Russia.” </w:t>
      </w:r>
      <w:r w:rsidRPr="005662D8">
        <w:rPr>
          <w:i/>
          <w:iCs/>
          <w:sz w:val="20"/>
          <w:szCs w:val="20"/>
          <w:lang w:eastAsia="it-IT"/>
        </w:rPr>
        <w:t>Eurasia Review.</w:t>
      </w:r>
      <w:r w:rsidRPr="005662D8">
        <w:rPr>
          <w:sz w:val="20"/>
          <w:szCs w:val="20"/>
          <w:lang w:eastAsia="it-IT"/>
        </w:rPr>
        <w:t xml:space="preserve"> </w:t>
      </w:r>
      <w:hyperlink r:id="rId190" w:tgtFrame="_new" w:history="1">
        <w:r w:rsidRPr="005662D8">
          <w:rPr>
            <w:color w:val="0000FF"/>
            <w:sz w:val="20"/>
            <w:szCs w:val="20"/>
            <w:u w:val="single"/>
            <w:lang w:eastAsia="it-IT"/>
          </w:rPr>
          <w:t>https://www.eurasiareview.com/17012024-armenias-energy-security-faces-frosty-relations-with-russia-analysis/</w:t>
        </w:r>
      </w:hyperlink>
      <w:r w:rsidRPr="005662D8">
        <w:rPr>
          <w:sz w:val="20"/>
          <w:szCs w:val="20"/>
          <w:lang w:eastAsia="it-IT"/>
        </w:rPr>
        <w:t>.</w:t>
      </w:r>
    </w:p>
    <w:p w14:paraId="4038920D"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Marlow, Jim.</w:t>
      </w:r>
      <w:r w:rsidRPr="005662D8">
        <w:rPr>
          <w:sz w:val="20"/>
          <w:szCs w:val="20"/>
          <w:lang w:eastAsia="it-IT"/>
        </w:rPr>
        <w:t xml:space="preserve"> 2002. “Governmentality, Ontological Security and Ideational Stability: Preliminary Observations on the Manner, Ritual and Logic of a Particular Art of Government.” </w:t>
      </w:r>
      <w:r w:rsidRPr="005662D8">
        <w:rPr>
          <w:i/>
          <w:iCs/>
          <w:sz w:val="20"/>
          <w:szCs w:val="20"/>
          <w:lang w:eastAsia="it-IT"/>
        </w:rPr>
        <w:t>Journal of Political Ideologies</w:t>
      </w:r>
      <w:r w:rsidRPr="005662D8">
        <w:rPr>
          <w:sz w:val="20"/>
          <w:szCs w:val="20"/>
          <w:lang w:eastAsia="it-IT"/>
        </w:rPr>
        <w:t xml:space="preserve"> 7 (2): 241–59. </w:t>
      </w:r>
      <w:hyperlink r:id="rId191" w:history="1">
        <w:r w:rsidRPr="005662D8">
          <w:rPr>
            <w:rStyle w:val="Collegamentoipertestuale"/>
            <w:sz w:val="20"/>
            <w:szCs w:val="20"/>
            <w:lang w:eastAsia="it-IT"/>
          </w:rPr>
          <w:t>https://doi.org/10.1080/13569310220137566</w:t>
        </w:r>
      </w:hyperlink>
      <w:r w:rsidRPr="005662D8">
        <w:rPr>
          <w:sz w:val="20"/>
          <w:szCs w:val="20"/>
          <w:lang w:eastAsia="it-IT"/>
        </w:rPr>
        <w:t>.</w:t>
      </w:r>
    </w:p>
    <w:p w14:paraId="5547C301"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McSweeney, Bill.</w:t>
      </w:r>
      <w:r w:rsidRPr="005662D8">
        <w:rPr>
          <w:sz w:val="20"/>
          <w:szCs w:val="20"/>
          <w:lang w:eastAsia="it-IT"/>
        </w:rPr>
        <w:t xml:space="preserve"> 2006. </w:t>
      </w:r>
      <w:r w:rsidRPr="005662D8">
        <w:rPr>
          <w:i/>
          <w:iCs/>
          <w:sz w:val="20"/>
          <w:szCs w:val="20"/>
          <w:lang w:eastAsia="it-IT"/>
        </w:rPr>
        <w:t>Security, Identity and Interests: A Sociology of International Relations.</w:t>
      </w:r>
      <w:r w:rsidRPr="005662D8">
        <w:rPr>
          <w:sz w:val="20"/>
          <w:szCs w:val="20"/>
          <w:lang w:eastAsia="it-IT"/>
        </w:rPr>
        <w:t xml:space="preserve"> Cambridge, United Kingdom: Cambridge University Press.</w:t>
      </w:r>
    </w:p>
    <w:p w14:paraId="3D10E5BD"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Mearsheimer, John J.</w:t>
      </w:r>
      <w:r w:rsidRPr="005662D8">
        <w:rPr>
          <w:sz w:val="20"/>
          <w:szCs w:val="20"/>
          <w:lang w:eastAsia="it-IT"/>
        </w:rPr>
        <w:t xml:space="preserve"> 2014. </w:t>
      </w:r>
      <w:r w:rsidRPr="005662D8">
        <w:rPr>
          <w:i/>
          <w:iCs/>
          <w:sz w:val="20"/>
          <w:szCs w:val="20"/>
          <w:lang w:eastAsia="it-IT"/>
        </w:rPr>
        <w:t>The Tragedy of Great Power Politics.</w:t>
      </w:r>
      <w:r w:rsidRPr="005662D8">
        <w:rPr>
          <w:sz w:val="20"/>
          <w:szCs w:val="20"/>
          <w:lang w:eastAsia="it-IT"/>
        </w:rPr>
        <w:t xml:space="preserve"> New York, United States: W.W. Norton &amp; Company.</w:t>
      </w:r>
    </w:p>
    <w:p w14:paraId="4C4A5E79"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Mearsheimer, John.</w:t>
      </w:r>
      <w:r w:rsidRPr="005662D8">
        <w:rPr>
          <w:sz w:val="20"/>
          <w:szCs w:val="20"/>
          <w:lang w:eastAsia="it-IT"/>
        </w:rPr>
        <w:t xml:space="preserve"> 2014. “Why the Ukraine Crisis Is the West’s Fault.” </w:t>
      </w:r>
      <w:r w:rsidRPr="005662D8">
        <w:rPr>
          <w:i/>
          <w:iCs/>
          <w:sz w:val="20"/>
          <w:szCs w:val="20"/>
          <w:lang w:eastAsia="it-IT"/>
        </w:rPr>
        <w:t>Foreign Affairs,</w:t>
      </w:r>
      <w:r w:rsidRPr="005662D8">
        <w:rPr>
          <w:sz w:val="20"/>
          <w:szCs w:val="20"/>
          <w:lang w:eastAsia="it-IT"/>
        </w:rPr>
        <w:t xml:space="preserve"> September. </w:t>
      </w:r>
      <w:hyperlink r:id="rId192" w:tgtFrame="_new" w:history="1">
        <w:r w:rsidRPr="005662D8">
          <w:rPr>
            <w:color w:val="0000FF"/>
            <w:sz w:val="20"/>
            <w:szCs w:val="20"/>
            <w:u w:val="single"/>
            <w:lang w:eastAsia="it-IT"/>
          </w:rPr>
          <w:t>https://www.foreignaffairs.com/articles/russia-fsu/2014-08-18/why-ukraine-crisis-west-s-fault</w:t>
        </w:r>
      </w:hyperlink>
      <w:r w:rsidRPr="005662D8">
        <w:rPr>
          <w:sz w:val="20"/>
          <w:szCs w:val="20"/>
          <w:lang w:eastAsia="it-IT"/>
        </w:rPr>
        <w:t>.</w:t>
      </w:r>
    </w:p>
    <w:p w14:paraId="5C17277D"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Meduza.</w:t>
      </w:r>
      <w:r w:rsidRPr="005662D8">
        <w:rPr>
          <w:sz w:val="20"/>
          <w:szCs w:val="20"/>
          <w:lang w:eastAsia="it-IT"/>
        </w:rPr>
        <w:t xml:space="preserve"> 2023. “Meduza Vyiasnila, Kak Kreml’ Rekomenduet Gosudarstvennym SMI Osveshchat’ Sobytiia v Nagornom Karabakhe: ‘Vo Vsem Vinovaty Armeniia i Ee Zapadnye Partnery, a Rossiiskie Mirotvortsy Geroicheski Spasaiut Mirnykh Zhitelyei.’” </w:t>
      </w:r>
      <w:r w:rsidRPr="005662D8">
        <w:rPr>
          <w:i/>
          <w:iCs/>
          <w:sz w:val="20"/>
          <w:szCs w:val="20"/>
          <w:lang w:eastAsia="it-IT"/>
        </w:rPr>
        <w:t>Meduza,</w:t>
      </w:r>
      <w:r w:rsidRPr="005662D8">
        <w:rPr>
          <w:sz w:val="20"/>
          <w:szCs w:val="20"/>
          <w:lang w:eastAsia="it-IT"/>
        </w:rPr>
        <w:t xml:space="preserve"> September 20. </w:t>
      </w:r>
      <w:hyperlink r:id="rId193" w:history="1">
        <w:r w:rsidRPr="005662D8">
          <w:rPr>
            <w:rStyle w:val="Collegamentoipertestuale"/>
            <w:sz w:val="20"/>
            <w:szCs w:val="20"/>
            <w:lang w:eastAsia="it-IT"/>
          </w:rPr>
          <w:t>https://meduza.io/feature/2023/09/20/meduza-vyyasnila-kak-kreml-rekomenduet-gosudarstvennym-smi-osveshchat-sobytiya-v-nagornom-karabahe</w:t>
        </w:r>
      </w:hyperlink>
      <w:r w:rsidRPr="005662D8">
        <w:rPr>
          <w:sz w:val="20"/>
          <w:szCs w:val="20"/>
          <w:lang w:eastAsia="it-IT"/>
        </w:rPr>
        <w:t>.</w:t>
      </w:r>
    </w:p>
    <w:p w14:paraId="7F52D6F3" w14:textId="77777777" w:rsidR="00E9035E" w:rsidRPr="005662D8" w:rsidRDefault="00E9035E" w:rsidP="005662D8">
      <w:pPr>
        <w:spacing w:before="100" w:beforeAutospacing="1" w:after="100" w:afterAutospacing="1" w:line="240" w:lineRule="auto"/>
        <w:rPr>
          <w:sz w:val="20"/>
          <w:szCs w:val="20"/>
          <w:lang w:eastAsia="it-IT"/>
        </w:rPr>
      </w:pPr>
      <w:r w:rsidRPr="005662D8">
        <w:rPr>
          <w:bCs/>
          <w:sz w:val="20"/>
          <w:szCs w:val="20"/>
          <w:lang w:eastAsia="it-IT"/>
        </w:rPr>
        <w:t>Mejlumyan, Ani.</w:t>
      </w:r>
      <w:r w:rsidRPr="005662D8">
        <w:rPr>
          <w:sz w:val="20"/>
          <w:szCs w:val="20"/>
          <w:lang w:eastAsia="it-IT"/>
        </w:rPr>
        <w:t xml:space="preserve"> 2018. “In Moscow Pashinyan Gets along with Putin, Clashes with Russian-Armenian Philanthropist.” </w:t>
      </w:r>
      <w:r w:rsidRPr="005662D8">
        <w:rPr>
          <w:i/>
          <w:iCs/>
          <w:sz w:val="20"/>
          <w:szCs w:val="20"/>
          <w:lang w:eastAsia="it-IT"/>
        </w:rPr>
        <w:t>Eurasianet,</w:t>
      </w:r>
      <w:r w:rsidRPr="005662D8">
        <w:rPr>
          <w:sz w:val="20"/>
          <w:szCs w:val="20"/>
          <w:lang w:eastAsia="it-IT"/>
        </w:rPr>
        <w:t xml:space="preserve"> September 10. </w:t>
      </w:r>
      <w:hyperlink r:id="rId194" w:tgtFrame="_new" w:history="1">
        <w:r w:rsidRPr="005662D8">
          <w:rPr>
            <w:color w:val="0000FF"/>
            <w:sz w:val="20"/>
            <w:szCs w:val="20"/>
            <w:u w:val="single"/>
            <w:lang w:eastAsia="it-IT"/>
          </w:rPr>
          <w:t>https://eurasianet.org/in-moscow-pashinyan-gets-along-with-putin-clashes-with-russian-armenian-philanthropist</w:t>
        </w:r>
      </w:hyperlink>
      <w:r w:rsidRPr="005662D8">
        <w:rPr>
          <w:sz w:val="20"/>
          <w:szCs w:val="20"/>
          <w:lang w:eastAsia="it-IT"/>
        </w:rPr>
        <w:t>.</w:t>
      </w:r>
    </w:p>
    <w:p w14:paraId="280D21BD" w14:textId="77777777" w:rsidR="00E9035E" w:rsidRPr="005662D8" w:rsidRDefault="00E9035E" w:rsidP="005662D8">
      <w:pPr>
        <w:pStyle w:val="NormaleWeb"/>
        <w:spacing w:line="240" w:lineRule="auto"/>
        <w:rPr>
          <w:sz w:val="20"/>
          <w:szCs w:val="20"/>
        </w:rPr>
      </w:pPr>
      <w:r w:rsidRPr="005662D8">
        <w:rPr>
          <w:sz w:val="20"/>
          <w:szCs w:val="20"/>
          <w:lang w:val="en-US"/>
        </w:rPr>
        <w:t xml:space="preserve">Mejlumyan, Ani. 2021. “Armenia Proposing Restoration of Rail Route Through Azerbaijan to Russia.” </w:t>
      </w:r>
      <w:r w:rsidRPr="005662D8">
        <w:rPr>
          <w:rStyle w:val="Enfasicorsivo"/>
          <w:sz w:val="20"/>
          <w:szCs w:val="20"/>
        </w:rPr>
        <w:t>Eurasianet</w:t>
      </w:r>
      <w:r w:rsidRPr="005662D8">
        <w:rPr>
          <w:sz w:val="20"/>
          <w:szCs w:val="20"/>
        </w:rPr>
        <w:t xml:space="preserve">. </w:t>
      </w:r>
      <w:hyperlink r:id="rId195" w:tgtFrame="_new" w:history="1">
        <w:r w:rsidRPr="005662D8">
          <w:rPr>
            <w:rStyle w:val="Collegamentoipertestuale"/>
            <w:sz w:val="20"/>
            <w:szCs w:val="20"/>
          </w:rPr>
          <w:t>https://eurasianet.org/armenia-proposing-restoration-of-rail-route-through-azerbaijan-to-russia</w:t>
        </w:r>
      </w:hyperlink>
    </w:p>
    <w:p w14:paraId="57EF54C6" w14:textId="05237442"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Mercer, Jonathan.</w:t>
      </w:r>
      <w:r w:rsidRPr="005662D8">
        <w:rPr>
          <w:sz w:val="20"/>
          <w:szCs w:val="20"/>
          <w:lang w:val="en-US"/>
        </w:rPr>
        <w:t xml:space="preserve"> 2005. “Rationality and Psychology in International Politics.” </w:t>
      </w:r>
      <w:r w:rsidRPr="005662D8">
        <w:rPr>
          <w:rStyle w:val="Enfasicorsivo"/>
          <w:sz w:val="20"/>
          <w:szCs w:val="20"/>
          <w:lang w:val="en-US"/>
        </w:rPr>
        <w:t>International Organization</w:t>
      </w:r>
      <w:r w:rsidRPr="005662D8">
        <w:rPr>
          <w:sz w:val="20"/>
          <w:szCs w:val="20"/>
          <w:lang w:val="en-US"/>
        </w:rPr>
        <w:t xml:space="preserve"> 59 (1): 55–66. </w:t>
      </w:r>
      <w:hyperlink r:id="rId196" w:history="1">
        <w:r w:rsidR="00CC5EE6" w:rsidRPr="00F3725E">
          <w:rPr>
            <w:rStyle w:val="Collegamentoipertestuale"/>
            <w:sz w:val="20"/>
            <w:szCs w:val="20"/>
            <w:lang w:val="en-US"/>
          </w:rPr>
          <w:t>https://doi.org/10.1017/S0020818305050058</w:t>
        </w:r>
      </w:hyperlink>
      <w:r w:rsidRPr="005662D8">
        <w:rPr>
          <w:sz w:val="20"/>
          <w:szCs w:val="20"/>
          <w:lang w:val="en-US"/>
        </w:rPr>
        <w:t>.</w:t>
      </w:r>
    </w:p>
    <w:p w14:paraId="5512CA2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Merriam, Sharan B.</w:t>
      </w:r>
      <w:r w:rsidRPr="005662D8">
        <w:rPr>
          <w:sz w:val="20"/>
          <w:szCs w:val="20"/>
          <w:lang w:val="en-US"/>
        </w:rPr>
        <w:t xml:space="preserve"> 2001. </w:t>
      </w:r>
      <w:r w:rsidRPr="005662D8">
        <w:rPr>
          <w:rStyle w:val="Enfasicorsivo"/>
          <w:sz w:val="20"/>
          <w:szCs w:val="20"/>
          <w:lang w:val="en-US"/>
        </w:rPr>
        <w:t>Qualitative Research and Case Study Applications in Education.</w:t>
      </w:r>
      <w:r w:rsidRPr="005662D8">
        <w:rPr>
          <w:sz w:val="20"/>
          <w:szCs w:val="20"/>
          <w:lang w:val="en-US"/>
        </w:rPr>
        <w:t xml:space="preserve"> San Francisco, United States: Jossey-Bass Publishers.</w:t>
      </w:r>
    </w:p>
    <w:p w14:paraId="4CE255A5" w14:textId="77777777" w:rsidR="00E9035E" w:rsidRPr="00CA7E2D" w:rsidRDefault="00E9035E" w:rsidP="005662D8">
      <w:pPr>
        <w:pStyle w:val="NormaleWeb"/>
        <w:spacing w:line="240" w:lineRule="auto"/>
        <w:rPr>
          <w:sz w:val="20"/>
          <w:szCs w:val="20"/>
          <w:lang w:val="en-US"/>
        </w:rPr>
      </w:pPr>
      <w:r w:rsidRPr="005662D8">
        <w:rPr>
          <w:rStyle w:val="Enfasigrassetto"/>
          <w:b w:val="0"/>
          <w:sz w:val="20"/>
          <w:szCs w:val="20"/>
          <w:lang w:val="en-US"/>
        </w:rPr>
        <w:t>Mgdesyan, Arshaluis.</w:t>
      </w:r>
      <w:r w:rsidRPr="005662D8">
        <w:rPr>
          <w:sz w:val="20"/>
          <w:szCs w:val="20"/>
          <w:lang w:val="en-US"/>
        </w:rPr>
        <w:t xml:space="preserve"> 2023. “Russia’s Powerful Economic Levers over Armenia.” </w:t>
      </w:r>
      <w:r w:rsidRPr="00CA7E2D">
        <w:rPr>
          <w:rStyle w:val="Enfasicorsivo"/>
          <w:sz w:val="20"/>
          <w:szCs w:val="20"/>
          <w:lang w:val="en-US"/>
        </w:rPr>
        <w:t>Eurasianet.</w:t>
      </w:r>
      <w:r w:rsidRPr="00CA7E2D">
        <w:rPr>
          <w:sz w:val="20"/>
          <w:szCs w:val="20"/>
          <w:lang w:val="en-US"/>
        </w:rPr>
        <w:t xml:space="preserve"> </w:t>
      </w:r>
      <w:hyperlink r:id="rId197" w:tgtFrame="_new" w:history="1">
        <w:r w:rsidRPr="00CA7E2D">
          <w:rPr>
            <w:rStyle w:val="Collegamentoipertestuale"/>
            <w:sz w:val="20"/>
            <w:szCs w:val="20"/>
            <w:lang w:val="en-US"/>
          </w:rPr>
          <w:t>https://eurasianet.org/russias-powerful-economic-levers-over-armenia</w:t>
        </w:r>
      </w:hyperlink>
      <w:r w:rsidRPr="00CA7E2D">
        <w:rPr>
          <w:sz w:val="20"/>
          <w:szCs w:val="20"/>
          <w:lang w:val="en-US"/>
        </w:rPr>
        <w:t>.</w:t>
      </w:r>
    </w:p>
    <w:p w14:paraId="21FC711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Minasyan, Sergey.</w:t>
      </w:r>
      <w:r w:rsidRPr="005662D8">
        <w:rPr>
          <w:sz w:val="20"/>
          <w:szCs w:val="20"/>
          <w:lang w:val="en-US"/>
        </w:rPr>
        <w:t xml:space="preserve"> n.d. “Russian-Armenian Relations: Affection or Pragmatism?” </w:t>
      </w:r>
      <w:r w:rsidRPr="005662D8">
        <w:rPr>
          <w:rStyle w:val="Enfasicorsivo"/>
          <w:sz w:val="20"/>
          <w:szCs w:val="20"/>
          <w:lang w:val="en-US"/>
        </w:rPr>
        <w:t>PONARS Eurasia</w:t>
      </w:r>
      <w:r w:rsidRPr="005662D8">
        <w:rPr>
          <w:sz w:val="20"/>
          <w:szCs w:val="20"/>
          <w:lang w:val="en-US"/>
        </w:rPr>
        <w:t xml:space="preserve"> 269: 1–5.</w:t>
      </w:r>
    </w:p>
    <w:p w14:paraId="6C8C14A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Mirzoyan, Alla.</w:t>
      </w:r>
      <w:r w:rsidRPr="005662D8">
        <w:rPr>
          <w:sz w:val="20"/>
          <w:szCs w:val="20"/>
          <w:lang w:val="en-US"/>
        </w:rPr>
        <w:t xml:space="preserve"> 2010. </w:t>
      </w:r>
      <w:r w:rsidRPr="005662D8">
        <w:rPr>
          <w:rStyle w:val="Enfasicorsivo"/>
          <w:sz w:val="20"/>
          <w:szCs w:val="20"/>
          <w:lang w:val="en-US"/>
        </w:rPr>
        <w:t>Armenia, the Regional Powers, and the West: Between History and Geopolitics.</w:t>
      </w:r>
      <w:r w:rsidRPr="005662D8">
        <w:rPr>
          <w:sz w:val="20"/>
          <w:szCs w:val="20"/>
          <w:lang w:val="en-US"/>
        </w:rPr>
        <w:t xml:space="preserve"> New York, United States: Palgrave Macmillan.</w:t>
      </w:r>
    </w:p>
    <w:p w14:paraId="5501A14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Misztal, Barbara A.</w:t>
      </w:r>
      <w:r w:rsidRPr="005662D8">
        <w:rPr>
          <w:sz w:val="20"/>
          <w:szCs w:val="20"/>
          <w:lang w:val="en-US"/>
        </w:rPr>
        <w:t xml:space="preserve"> 2003. </w:t>
      </w:r>
      <w:r w:rsidRPr="005662D8">
        <w:rPr>
          <w:rStyle w:val="Enfasicorsivo"/>
          <w:sz w:val="20"/>
          <w:szCs w:val="20"/>
          <w:lang w:val="en-US"/>
        </w:rPr>
        <w:t>Theories of Social Remembering.</w:t>
      </w:r>
      <w:r w:rsidRPr="005662D8">
        <w:rPr>
          <w:sz w:val="20"/>
          <w:szCs w:val="20"/>
          <w:lang w:val="en-US"/>
        </w:rPr>
        <w:t xml:space="preserve"> Maidenhead, United Kingdom: Open University Press.</w:t>
      </w:r>
    </w:p>
    <w:p w14:paraId="3A94699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Mitzen, Jennifer.</w:t>
      </w:r>
      <w:r w:rsidRPr="005662D8">
        <w:rPr>
          <w:sz w:val="20"/>
          <w:szCs w:val="20"/>
          <w:lang w:val="en-US"/>
        </w:rPr>
        <w:t xml:space="preserve"> 2018. “Anxious Community: EU as (in)Security Community.” </w:t>
      </w:r>
      <w:r w:rsidRPr="005662D8">
        <w:rPr>
          <w:rStyle w:val="Enfasicorsivo"/>
          <w:sz w:val="20"/>
          <w:szCs w:val="20"/>
          <w:lang w:val="en-US"/>
        </w:rPr>
        <w:t>European Security</w:t>
      </w:r>
      <w:r w:rsidRPr="005662D8">
        <w:rPr>
          <w:sz w:val="20"/>
          <w:szCs w:val="20"/>
          <w:lang w:val="en-US"/>
        </w:rPr>
        <w:t xml:space="preserve"> 27 (3): 393–413. </w:t>
      </w:r>
      <w:hyperlink r:id="rId198" w:history="1">
        <w:r w:rsidRPr="005662D8">
          <w:rPr>
            <w:rStyle w:val="Collegamentoipertestuale"/>
            <w:sz w:val="20"/>
            <w:szCs w:val="20"/>
            <w:lang w:val="en-US"/>
          </w:rPr>
          <w:t>https://doi.org/10.1080/09662839.2018.1497985</w:t>
        </w:r>
      </w:hyperlink>
      <w:r w:rsidRPr="005662D8">
        <w:rPr>
          <w:sz w:val="20"/>
          <w:szCs w:val="20"/>
          <w:lang w:val="en-US"/>
        </w:rPr>
        <w:t>.</w:t>
      </w:r>
    </w:p>
    <w:p w14:paraId="6AA2E4E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Mjør, Kåre Johan.</w:t>
      </w:r>
      <w:r w:rsidRPr="005662D8">
        <w:rPr>
          <w:sz w:val="20"/>
          <w:szCs w:val="20"/>
          <w:lang w:val="en-US"/>
        </w:rPr>
        <w:t xml:space="preserve"> 2018. “Smuta: Cyclical Visions of History in Contemporary Russian Thought and the Question of Hegemony.” </w:t>
      </w:r>
      <w:r w:rsidRPr="005662D8">
        <w:rPr>
          <w:rStyle w:val="Enfasicorsivo"/>
          <w:sz w:val="20"/>
          <w:szCs w:val="20"/>
          <w:lang w:val="en-US"/>
        </w:rPr>
        <w:t>Studies in East European Thought</w:t>
      </w:r>
      <w:r w:rsidRPr="005662D8">
        <w:rPr>
          <w:sz w:val="20"/>
          <w:szCs w:val="20"/>
          <w:lang w:val="en-US"/>
        </w:rPr>
        <w:t xml:space="preserve"> 70 (1): 19–40. </w:t>
      </w:r>
      <w:hyperlink r:id="rId199" w:history="1">
        <w:r w:rsidRPr="005662D8">
          <w:rPr>
            <w:rStyle w:val="Collegamentoipertestuale"/>
            <w:sz w:val="20"/>
            <w:szCs w:val="20"/>
            <w:lang w:val="en-US"/>
          </w:rPr>
          <w:t>https://doi.org/10.1007/s11212-018-9298-0</w:t>
        </w:r>
      </w:hyperlink>
      <w:r w:rsidRPr="005662D8">
        <w:rPr>
          <w:sz w:val="20"/>
          <w:szCs w:val="20"/>
          <w:lang w:val="en-US"/>
        </w:rPr>
        <w:t>.</w:t>
      </w:r>
    </w:p>
    <w:p w14:paraId="063423C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Morgenthau, Hans J.</w:t>
      </w:r>
      <w:r w:rsidRPr="005662D8">
        <w:rPr>
          <w:sz w:val="20"/>
          <w:szCs w:val="20"/>
          <w:lang w:val="en-US"/>
        </w:rPr>
        <w:t xml:space="preserve"> 1976. </w:t>
      </w:r>
      <w:r w:rsidRPr="005662D8">
        <w:rPr>
          <w:rStyle w:val="Enfasicorsivo"/>
          <w:sz w:val="20"/>
          <w:szCs w:val="20"/>
          <w:lang w:val="en-US"/>
        </w:rPr>
        <w:t>Politics among Nations: The Struggle for Power and Peace.</w:t>
      </w:r>
      <w:r w:rsidRPr="005662D8">
        <w:rPr>
          <w:sz w:val="20"/>
          <w:szCs w:val="20"/>
          <w:lang w:val="en-US"/>
        </w:rPr>
        <w:t xml:space="preserve"> New York, United States: Knopf.</w:t>
      </w:r>
    </w:p>
    <w:p w14:paraId="194C283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Morgenthau, Hans. 1999.</w:t>
      </w:r>
      <w:r w:rsidRPr="005662D8">
        <w:rPr>
          <w:sz w:val="20"/>
          <w:szCs w:val="20"/>
          <w:lang w:val="en-US"/>
        </w:rPr>
        <w:t xml:space="preserve"> </w:t>
      </w:r>
      <w:r w:rsidRPr="005662D8">
        <w:rPr>
          <w:rStyle w:val="Enfasicorsivo"/>
          <w:sz w:val="20"/>
          <w:szCs w:val="20"/>
          <w:lang w:val="en-US"/>
        </w:rPr>
        <w:t>Remembrance and Denial: The Case of the Armenian Genocide.</w:t>
      </w:r>
      <w:r w:rsidRPr="005662D8">
        <w:rPr>
          <w:sz w:val="20"/>
          <w:szCs w:val="20"/>
          <w:lang w:val="en-US"/>
        </w:rPr>
        <w:t xml:space="preserve"> Detroit, United States: Wayne State University Press.</w:t>
      </w:r>
    </w:p>
    <w:p w14:paraId="19AF6095" w14:textId="77777777" w:rsidR="00E9035E" w:rsidRPr="005662D8" w:rsidRDefault="00E9035E" w:rsidP="005662D8">
      <w:pPr>
        <w:pStyle w:val="NormaleWeb"/>
        <w:spacing w:line="240" w:lineRule="auto"/>
        <w:rPr>
          <w:rStyle w:val="Enfasigrassetto"/>
          <w:b w:val="0"/>
          <w:sz w:val="20"/>
          <w:szCs w:val="20"/>
          <w:lang w:val="en-US"/>
        </w:rPr>
      </w:pPr>
      <w:r w:rsidRPr="005662D8">
        <w:rPr>
          <w:bCs/>
          <w:sz w:val="20"/>
          <w:szCs w:val="20"/>
          <w:lang w:val="en-US"/>
        </w:rPr>
        <w:t xml:space="preserve">Morozov, Viatcheslav. 2015. </w:t>
      </w:r>
      <w:r w:rsidRPr="005662D8">
        <w:rPr>
          <w:bCs/>
          <w:i/>
          <w:iCs/>
          <w:sz w:val="20"/>
          <w:szCs w:val="20"/>
          <w:lang w:val="en-US"/>
        </w:rPr>
        <w:t>Russia’s Postcolonial Identity: A Subaltern Empire in a Eurocentric World</w:t>
      </w:r>
      <w:r w:rsidRPr="005662D8">
        <w:rPr>
          <w:bCs/>
          <w:sz w:val="20"/>
          <w:szCs w:val="20"/>
          <w:lang w:val="en-US"/>
        </w:rPr>
        <w:t xml:space="preserve">. Basingstoke, United Kingdom: Palgrave Macmillan. </w:t>
      </w:r>
    </w:p>
    <w:p w14:paraId="7818FA1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Mostashari, Firouzeh.</w:t>
      </w:r>
      <w:r w:rsidRPr="005662D8">
        <w:rPr>
          <w:sz w:val="20"/>
          <w:szCs w:val="20"/>
          <w:lang w:val="en-US"/>
        </w:rPr>
        <w:t xml:space="preserve"> 2017. </w:t>
      </w:r>
      <w:r w:rsidRPr="005662D8">
        <w:rPr>
          <w:rStyle w:val="Enfasicorsivo"/>
          <w:sz w:val="20"/>
          <w:szCs w:val="20"/>
          <w:lang w:val="en-US"/>
        </w:rPr>
        <w:t>On the Religious Frontier: Tsarist Russia and Islam in the Caucasus.</w:t>
      </w:r>
      <w:r w:rsidRPr="005662D8">
        <w:rPr>
          <w:sz w:val="20"/>
          <w:szCs w:val="20"/>
          <w:lang w:val="en-US"/>
        </w:rPr>
        <w:t xml:space="preserve"> London, United Kingdom: I.B. Tauris &amp; Co. Ltd.</w:t>
      </w:r>
    </w:p>
    <w:p w14:paraId="713FF70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Mouritzen, Hans.</w:t>
      </w:r>
      <w:r w:rsidRPr="005662D8">
        <w:rPr>
          <w:sz w:val="20"/>
          <w:szCs w:val="20"/>
          <w:lang w:val="en-US"/>
        </w:rPr>
        <w:t xml:space="preserve"> 2020. “‘Remember Iraq!’ Learning Theory and the 2013 Non-Decision on Air Strikes against Syria.” </w:t>
      </w:r>
      <w:r w:rsidRPr="005662D8">
        <w:rPr>
          <w:rStyle w:val="Enfasicorsivo"/>
          <w:sz w:val="20"/>
          <w:szCs w:val="20"/>
          <w:lang w:val="en-US"/>
        </w:rPr>
        <w:t>International Politics</w:t>
      </w:r>
      <w:r w:rsidRPr="005662D8">
        <w:rPr>
          <w:sz w:val="20"/>
          <w:szCs w:val="20"/>
          <w:lang w:val="en-US"/>
        </w:rPr>
        <w:t xml:space="preserve"> 57 (6): 954–72. https://doi.org/10.1057/s41311-020-00207-x.</w:t>
      </w:r>
    </w:p>
    <w:p w14:paraId="3DF4FFA4"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Narozhna, Tania. 2021. “Misrecognition, Ontological Security and State Foreign Policy: The Case of Post-Soviet Russia.” </w:t>
      </w:r>
      <w:r w:rsidRPr="005662D8">
        <w:rPr>
          <w:rStyle w:val="Enfasicorsivo"/>
          <w:sz w:val="20"/>
          <w:szCs w:val="20"/>
          <w:lang w:val="en-US"/>
        </w:rPr>
        <w:t>Australian Journal of International Affairs</w:t>
      </w:r>
      <w:r w:rsidRPr="005662D8">
        <w:rPr>
          <w:sz w:val="20"/>
          <w:szCs w:val="20"/>
          <w:lang w:val="en-US"/>
        </w:rPr>
        <w:t xml:space="preserve"> 76 (1): 76–97. </w:t>
      </w:r>
      <w:hyperlink r:id="rId200" w:history="1">
        <w:r w:rsidRPr="005662D8">
          <w:rPr>
            <w:rStyle w:val="Collegamentoipertestuale"/>
            <w:sz w:val="20"/>
            <w:szCs w:val="20"/>
            <w:lang w:val="en-US"/>
          </w:rPr>
          <w:t>https://doi.org/10.1080/10357718.2021.1985963</w:t>
        </w:r>
      </w:hyperlink>
      <w:r w:rsidRPr="005662D8">
        <w:rPr>
          <w:sz w:val="20"/>
          <w:szCs w:val="20"/>
          <w:lang w:val="en-US"/>
        </w:rPr>
        <w:t>.</w:t>
      </w:r>
    </w:p>
    <w:p w14:paraId="7B001BA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Narozhna, Tanya.</w:t>
      </w:r>
      <w:r w:rsidRPr="005662D8">
        <w:rPr>
          <w:sz w:val="20"/>
          <w:szCs w:val="20"/>
          <w:lang w:val="en-US"/>
        </w:rPr>
        <w:t xml:space="preserve"> 2021a. “Revisiting the Causes of Russian Foreign Policy Changes: Incoherent Biographical Narrative, Recognition and Russia’s Ontological Security-Seeking.” </w:t>
      </w:r>
      <w:r w:rsidRPr="005662D8">
        <w:rPr>
          <w:rStyle w:val="Enfasicorsivo"/>
          <w:sz w:val="20"/>
          <w:szCs w:val="20"/>
          <w:lang w:val="en-US"/>
        </w:rPr>
        <w:t>Central European Journal of International and Security Studies</w:t>
      </w:r>
      <w:r w:rsidRPr="005662D8">
        <w:rPr>
          <w:sz w:val="20"/>
          <w:szCs w:val="20"/>
          <w:lang w:val="en-US"/>
        </w:rPr>
        <w:t xml:space="preserve"> 15 (2): 56–81. </w:t>
      </w:r>
      <w:hyperlink r:id="rId201" w:history="1">
        <w:r w:rsidRPr="005662D8">
          <w:rPr>
            <w:rStyle w:val="Collegamentoipertestuale"/>
            <w:sz w:val="20"/>
            <w:szCs w:val="20"/>
            <w:lang w:val="en-US"/>
          </w:rPr>
          <w:t>https://doi.org/10.51870/cejiss.a150203</w:t>
        </w:r>
      </w:hyperlink>
      <w:r w:rsidRPr="005662D8">
        <w:rPr>
          <w:sz w:val="20"/>
          <w:szCs w:val="20"/>
          <w:lang w:val="en-US"/>
        </w:rPr>
        <w:t>.</w:t>
      </w:r>
    </w:p>
    <w:p w14:paraId="4E31D725" w14:textId="77777777" w:rsidR="00E9035E" w:rsidRPr="00CA7E2D" w:rsidRDefault="00E9035E" w:rsidP="005662D8">
      <w:pPr>
        <w:pStyle w:val="NormaleWeb"/>
        <w:spacing w:line="240" w:lineRule="auto"/>
        <w:rPr>
          <w:sz w:val="20"/>
          <w:szCs w:val="20"/>
        </w:rPr>
      </w:pPr>
      <w:r w:rsidRPr="005662D8">
        <w:rPr>
          <w:rStyle w:val="Enfasigrassetto"/>
          <w:b w:val="0"/>
          <w:sz w:val="20"/>
          <w:szCs w:val="20"/>
          <w:lang w:val="en-US"/>
        </w:rPr>
        <w:t>Nazaretyan, Hovhannes.</w:t>
      </w:r>
      <w:r w:rsidRPr="005662D8">
        <w:rPr>
          <w:sz w:val="20"/>
          <w:szCs w:val="20"/>
          <w:lang w:val="en-US"/>
        </w:rPr>
        <w:t xml:space="preserve"> 2023. “Armenia’s Economic Dependence on Russia: How Deep Does It Go?” </w:t>
      </w:r>
      <w:r w:rsidRPr="005662D8">
        <w:rPr>
          <w:rStyle w:val="Enfasicorsivo"/>
          <w:sz w:val="20"/>
          <w:szCs w:val="20"/>
          <w:lang w:val="en-US"/>
        </w:rPr>
        <w:t>EVN Report.</w:t>
      </w:r>
      <w:r w:rsidRPr="005662D8">
        <w:rPr>
          <w:sz w:val="20"/>
          <w:szCs w:val="20"/>
          <w:lang w:val="en-US"/>
        </w:rPr>
        <w:t xml:space="preserve"> </w:t>
      </w:r>
      <w:hyperlink r:id="rId202" w:tgtFrame="_new" w:history="1">
        <w:r w:rsidRPr="00CA7E2D">
          <w:rPr>
            <w:rStyle w:val="Collegamentoipertestuale"/>
            <w:sz w:val="20"/>
            <w:szCs w:val="20"/>
          </w:rPr>
          <w:t>https://evnreport.com/economy/armenias-economic-dependence-on-russia-how-deep-does-it-go/</w:t>
        </w:r>
      </w:hyperlink>
      <w:r w:rsidRPr="00CA7E2D">
        <w:rPr>
          <w:sz w:val="20"/>
          <w:szCs w:val="20"/>
        </w:rPr>
        <w:t>.</w:t>
      </w:r>
    </w:p>
    <w:p w14:paraId="69177B7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Nersisyan, Leonid, and Sergei Melkonian.</w:t>
      </w:r>
      <w:r w:rsidRPr="005662D8">
        <w:rPr>
          <w:sz w:val="20"/>
          <w:szCs w:val="20"/>
          <w:lang w:val="en-US"/>
        </w:rPr>
        <w:t xml:space="preserve"> 2024. “Escaping Russia’s Backyard: Armenia’s Strategic Defense Shift.” </w:t>
      </w:r>
      <w:r w:rsidRPr="005662D8">
        <w:rPr>
          <w:rStyle w:val="Enfasicorsivo"/>
          <w:sz w:val="20"/>
          <w:szCs w:val="20"/>
          <w:lang w:val="en-US"/>
        </w:rPr>
        <w:t>War on the Rocks.</w:t>
      </w:r>
      <w:r w:rsidRPr="005662D8">
        <w:rPr>
          <w:sz w:val="20"/>
          <w:szCs w:val="20"/>
          <w:lang w:val="en-US"/>
        </w:rPr>
        <w:t xml:space="preserve"> November 5. </w:t>
      </w:r>
      <w:hyperlink r:id="rId203" w:tgtFrame="_new" w:history="1">
        <w:r w:rsidRPr="005662D8">
          <w:rPr>
            <w:rStyle w:val="Collegamentoipertestuale"/>
            <w:sz w:val="20"/>
            <w:szCs w:val="20"/>
            <w:lang w:val="en-US"/>
          </w:rPr>
          <w:t>https://warontherocks.com/2024/11/escaping-russias-backyard-armenias-strategic-defense-shift/</w:t>
        </w:r>
      </w:hyperlink>
      <w:r w:rsidRPr="005662D8">
        <w:rPr>
          <w:sz w:val="20"/>
          <w:szCs w:val="20"/>
          <w:lang w:val="en-US"/>
        </w:rPr>
        <w:t>.</w:t>
      </w:r>
    </w:p>
    <w:p w14:paraId="44E9241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Neumann, Iver B.</w:t>
      </w:r>
      <w:r w:rsidRPr="005662D8">
        <w:rPr>
          <w:sz w:val="20"/>
          <w:szCs w:val="20"/>
          <w:lang w:val="en-US"/>
        </w:rPr>
        <w:t xml:space="preserve"> 1996. </w:t>
      </w:r>
      <w:r w:rsidRPr="005662D8">
        <w:rPr>
          <w:rStyle w:val="Enfasicorsivo"/>
          <w:sz w:val="20"/>
          <w:szCs w:val="20"/>
          <w:lang w:val="en-US"/>
        </w:rPr>
        <w:t>Russia and the Idea of Europe: A Study in Identity and International Relations.</w:t>
      </w:r>
      <w:r w:rsidRPr="005662D8">
        <w:rPr>
          <w:sz w:val="20"/>
          <w:szCs w:val="20"/>
          <w:lang w:val="en-US"/>
        </w:rPr>
        <w:t xml:space="preserve"> London, United Kingdom: Routledge, Taylor &amp; Francis Group.</w:t>
      </w:r>
    </w:p>
    <w:p w14:paraId="3F1AF46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Neumann, Iver B.</w:t>
      </w:r>
      <w:r w:rsidRPr="005662D8">
        <w:rPr>
          <w:sz w:val="20"/>
          <w:szCs w:val="20"/>
          <w:lang w:val="en-US"/>
        </w:rPr>
        <w:t xml:space="preserve"> 2015. “I Remember When Russia Was a Great Power.” </w:t>
      </w:r>
      <w:r w:rsidRPr="005662D8">
        <w:rPr>
          <w:rStyle w:val="Enfasicorsivo"/>
          <w:sz w:val="20"/>
          <w:szCs w:val="20"/>
          <w:lang w:val="en-US"/>
        </w:rPr>
        <w:t>Journal of Regional Security</w:t>
      </w:r>
      <w:r w:rsidRPr="005662D8">
        <w:rPr>
          <w:sz w:val="20"/>
          <w:szCs w:val="20"/>
          <w:lang w:val="en-US"/>
        </w:rPr>
        <w:t xml:space="preserve"> 10 (1): 5–16. </w:t>
      </w:r>
      <w:hyperlink r:id="rId204" w:history="1">
        <w:r w:rsidRPr="005662D8">
          <w:rPr>
            <w:rStyle w:val="Collegamentoipertestuale"/>
            <w:sz w:val="20"/>
            <w:szCs w:val="20"/>
            <w:lang w:val="en-US"/>
          </w:rPr>
          <w:t>https://doi.org/10.11643/issn.2217-995X151SPN56</w:t>
        </w:r>
      </w:hyperlink>
      <w:r w:rsidRPr="005662D8">
        <w:rPr>
          <w:sz w:val="20"/>
          <w:szCs w:val="20"/>
          <w:lang w:val="en-US"/>
        </w:rPr>
        <w:t>.</w:t>
      </w:r>
    </w:p>
    <w:p w14:paraId="081EF00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Nidditch, Peter.</w:t>
      </w:r>
      <w:r w:rsidRPr="005662D8">
        <w:rPr>
          <w:sz w:val="20"/>
          <w:szCs w:val="20"/>
          <w:lang w:val="en-US"/>
        </w:rPr>
        <w:t xml:space="preserve"> 1979. </w:t>
      </w:r>
      <w:r w:rsidRPr="005662D8">
        <w:rPr>
          <w:rStyle w:val="Enfasicorsivo"/>
          <w:sz w:val="20"/>
          <w:szCs w:val="20"/>
          <w:lang w:val="en-US"/>
        </w:rPr>
        <w:t>An Essay Concerning Human Understanding.</w:t>
      </w:r>
      <w:r w:rsidRPr="005662D8">
        <w:rPr>
          <w:sz w:val="20"/>
          <w:szCs w:val="20"/>
          <w:lang w:val="en-US"/>
        </w:rPr>
        <w:t xml:space="preserve"> Oxford, United Kingdom: Oxford University Press.</w:t>
      </w:r>
    </w:p>
    <w:p w14:paraId="25EB29D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Nielsen, Jørgen. 2012.</w:t>
      </w:r>
      <w:r w:rsidRPr="005662D8">
        <w:rPr>
          <w:sz w:val="20"/>
          <w:szCs w:val="20"/>
          <w:lang w:val="en-US"/>
        </w:rPr>
        <w:t xml:space="preserve"> </w:t>
      </w:r>
      <w:r w:rsidRPr="005662D8">
        <w:rPr>
          <w:rStyle w:val="Enfasicorsivo"/>
          <w:sz w:val="20"/>
          <w:szCs w:val="20"/>
          <w:lang w:val="en-US"/>
        </w:rPr>
        <w:t>Russian Energy Policy and Military Power: Putin’s Quest for Greatness.</w:t>
      </w:r>
      <w:r w:rsidRPr="005662D8">
        <w:rPr>
          <w:sz w:val="20"/>
          <w:szCs w:val="20"/>
          <w:lang w:val="en-US"/>
        </w:rPr>
        <w:t xml:space="preserve"> Hoboken, United States: Taylor &amp; Francis.</w:t>
      </w:r>
    </w:p>
    <w:p w14:paraId="49B1DDA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Nisbett, Richard, and Dov Cohen.</w:t>
      </w:r>
      <w:r w:rsidRPr="005662D8">
        <w:rPr>
          <w:sz w:val="20"/>
          <w:szCs w:val="20"/>
          <w:lang w:val="en-US"/>
        </w:rPr>
        <w:t xml:space="preserve"> 1996. </w:t>
      </w:r>
      <w:r w:rsidRPr="005662D8">
        <w:rPr>
          <w:rStyle w:val="Enfasicorsivo"/>
          <w:sz w:val="20"/>
          <w:szCs w:val="20"/>
          <w:lang w:val="en-US"/>
        </w:rPr>
        <w:t>Culture of Honor: The Psychology of Violence in the South.</w:t>
      </w:r>
      <w:r w:rsidRPr="005662D8">
        <w:rPr>
          <w:sz w:val="20"/>
          <w:szCs w:val="20"/>
          <w:lang w:val="en-US"/>
        </w:rPr>
        <w:t xml:space="preserve"> United States: Routledge.</w:t>
      </w:r>
    </w:p>
    <w:p w14:paraId="4791056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Nora, Pierre.</w:t>
      </w:r>
      <w:r w:rsidRPr="005662D8">
        <w:rPr>
          <w:sz w:val="20"/>
          <w:szCs w:val="20"/>
          <w:lang w:val="en-US"/>
        </w:rPr>
        <w:t xml:space="preserve"> 1989. “Between Memory and History: Les Lieux de Mémoire.” </w:t>
      </w:r>
      <w:r w:rsidRPr="005662D8">
        <w:rPr>
          <w:rStyle w:val="Enfasicorsivo"/>
          <w:sz w:val="20"/>
          <w:szCs w:val="20"/>
          <w:lang w:val="en-US"/>
        </w:rPr>
        <w:t>Representations</w:t>
      </w:r>
      <w:r w:rsidRPr="005662D8">
        <w:rPr>
          <w:sz w:val="20"/>
          <w:szCs w:val="20"/>
          <w:lang w:val="en-US"/>
        </w:rPr>
        <w:t xml:space="preserve"> 26: 7–24. </w:t>
      </w:r>
      <w:hyperlink r:id="rId205" w:tgtFrame="_new" w:history="1">
        <w:r w:rsidRPr="005662D8">
          <w:rPr>
            <w:rStyle w:val="Collegamentoipertestuale"/>
            <w:sz w:val="20"/>
            <w:szCs w:val="20"/>
            <w:lang w:val="en-US"/>
          </w:rPr>
          <w:t>https://doi.org/10.2307/2928520</w:t>
        </w:r>
      </w:hyperlink>
      <w:r w:rsidRPr="005662D8">
        <w:rPr>
          <w:sz w:val="20"/>
          <w:szCs w:val="20"/>
          <w:lang w:val="en-US"/>
        </w:rPr>
        <w:t>.</w:t>
      </w:r>
    </w:p>
    <w:p w14:paraId="2188B03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Ó Tuathail, Gearóid (Gerard Toal). 2017.</w:t>
      </w:r>
      <w:r w:rsidRPr="005662D8">
        <w:rPr>
          <w:sz w:val="20"/>
          <w:szCs w:val="20"/>
          <w:lang w:val="en-US"/>
        </w:rPr>
        <w:t xml:space="preserve"> </w:t>
      </w:r>
      <w:r w:rsidRPr="005662D8">
        <w:rPr>
          <w:rStyle w:val="Enfasicorsivo"/>
          <w:sz w:val="20"/>
          <w:szCs w:val="20"/>
          <w:lang w:val="en-US"/>
        </w:rPr>
        <w:t>Near Abroad: Putin, the West, and the Contest over Ukraine and the Caucasus.</w:t>
      </w:r>
      <w:r w:rsidRPr="005662D8">
        <w:rPr>
          <w:sz w:val="20"/>
          <w:szCs w:val="20"/>
          <w:lang w:val="en-US"/>
        </w:rPr>
        <w:t xml:space="preserve"> Oxford, United Kingdom: Oxford University Press.</w:t>
      </w:r>
    </w:p>
    <w:p w14:paraId="13DDBEA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O’Neill, Barry.</w:t>
      </w:r>
      <w:r w:rsidRPr="005662D8">
        <w:rPr>
          <w:sz w:val="20"/>
          <w:szCs w:val="20"/>
          <w:lang w:val="en-US"/>
        </w:rPr>
        <w:t xml:space="preserve"> 2001. </w:t>
      </w:r>
      <w:r w:rsidRPr="005662D8">
        <w:rPr>
          <w:rStyle w:val="Enfasicorsivo"/>
          <w:sz w:val="20"/>
          <w:szCs w:val="20"/>
          <w:lang w:val="en-US"/>
        </w:rPr>
        <w:t>Honor, Symbols, and War.</w:t>
      </w:r>
      <w:r w:rsidRPr="005662D8">
        <w:rPr>
          <w:sz w:val="20"/>
          <w:szCs w:val="20"/>
          <w:lang w:val="en-US"/>
        </w:rPr>
        <w:t xml:space="preserve"> Ann Arbor, United States: University of Michigan Press.</w:t>
      </w:r>
    </w:p>
    <w:p w14:paraId="3CE7996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Obolonsky, Aleksandr.</w:t>
      </w:r>
      <w:r w:rsidRPr="005662D8">
        <w:rPr>
          <w:sz w:val="20"/>
          <w:szCs w:val="20"/>
          <w:lang w:val="en-US"/>
        </w:rPr>
        <w:t xml:space="preserve"> 2017. </w:t>
      </w:r>
      <w:r w:rsidRPr="005662D8">
        <w:rPr>
          <w:rStyle w:val="Enfasicorsivo"/>
          <w:sz w:val="20"/>
          <w:szCs w:val="20"/>
          <w:lang w:val="en-US"/>
        </w:rPr>
        <w:t>“Osobyy Put’” Strany: Mify i Real’nost’.</w:t>
      </w:r>
      <w:r w:rsidRPr="005662D8">
        <w:rPr>
          <w:sz w:val="20"/>
          <w:szCs w:val="20"/>
          <w:lang w:val="en-US"/>
        </w:rPr>
        <w:t xml:space="preserve"> Moscow, Russian Federation: Mysl.</w:t>
      </w:r>
    </w:p>
    <w:p w14:paraId="1BF4FFF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Olick, Jeffrey K.</w:t>
      </w:r>
      <w:r w:rsidRPr="005662D8">
        <w:rPr>
          <w:sz w:val="20"/>
          <w:szCs w:val="20"/>
          <w:lang w:val="en-US"/>
        </w:rPr>
        <w:t xml:space="preserve"> 2003. </w:t>
      </w:r>
      <w:r w:rsidRPr="005662D8">
        <w:rPr>
          <w:rStyle w:val="Enfasicorsivo"/>
          <w:sz w:val="20"/>
          <w:szCs w:val="20"/>
          <w:lang w:val="en-US"/>
        </w:rPr>
        <w:t>States of Memory: Continuities, Conflicts, and Transformations in National Retrospection.</w:t>
      </w:r>
      <w:r w:rsidRPr="005662D8">
        <w:rPr>
          <w:sz w:val="20"/>
          <w:szCs w:val="20"/>
          <w:lang w:val="en-US"/>
        </w:rPr>
        <w:t xml:space="preserve"> Durham, United States: Duke University Press.</w:t>
      </w:r>
    </w:p>
    <w:p w14:paraId="210CE17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Olick, Jeffrey K., and Joyce Robbins.</w:t>
      </w:r>
      <w:r w:rsidRPr="005662D8">
        <w:rPr>
          <w:sz w:val="20"/>
          <w:szCs w:val="20"/>
          <w:lang w:val="en-US"/>
        </w:rPr>
        <w:t xml:space="preserve"> 1998. “Social Memory Studies: From ‘Collective Memory’ to the Historical Sociology of Mnemonic Practices.” </w:t>
      </w:r>
      <w:r w:rsidRPr="005662D8">
        <w:rPr>
          <w:rStyle w:val="Enfasicorsivo"/>
          <w:sz w:val="20"/>
          <w:szCs w:val="20"/>
          <w:lang w:val="en-US"/>
        </w:rPr>
        <w:t>Annual Review of Sociology</w:t>
      </w:r>
      <w:r w:rsidRPr="005662D8">
        <w:rPr>
          <w:sz w:val="20"/>
          <w:szCs w:val="20"/>
          <w:lang w:val="en-US"/>
        </w:rPr>
        <w:t xml:space="preserve"> 24 (1): 105–40. </w:t>
      </w:r>
      <w:hyperlink r:id="rId206" w:history="1">
        <w:r w:rsidRPr="005662D8">
          <w:rPr>
            <w:rStyle w:val="Collegamentoipertestuale"/>
            <w:sz w:val="20"/>
            <w:szCs w:val="20"/>
            <w:lang w:val="en-US"/>
          </w:rPr>
          <w:t>https://doi.org/10.1146/annurev.soc.24.1.105</w:t>
        </w:r>
      </w:hyperlink>
      <w:r w:rsidRPr="005662D8">
        <w:rPr>
          <w:sz w:val="20"/>
          <w:szCs w:val="20"/>
          <w:lang w:val="en-US"/>
        </w:rPr>
        <w:t>.</w:t>
      </w:r>
    </w:p>
    <w:p w14:paraId="0631EB7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Oprisko, Robert L.</w:t>
      </w:r>
      <w:r w:rsidRPr="005662D8">
        <w:rPr>
          <w:sz w:val="20"/>
          <w:szCs w:val="20"/>
          <w:lang w:val="en-US"/>
        </w:rPr>
        <w:t xml:space="preserve"> 2014. </w:t>
      </w:r>
      <w:r w:rsidRPr="005662D8">
        <w:rPr>
          <w:rStyle w:val="Enfasicorsivo"/>
          <w:sz w:val="20"/>
          <w:szCs w:val="20"/>
          <w:lang w:val="en-US"/>
        </w:rPr>
        <w:t>Honor: A Phenomenology.</w:t>
      </w:r>
      <w:r w:rsidRPr="005662D8">
        <w:rPr>
          <w:sz w:val="20"/>
          <w:szCs w:val="20"/>
          <w:lang w:val="en-US"/>
        </w:rPr>
        <w:t xml:space="preserve"> London, United Kingdom: Routledge.</w:t>
      </w:r>
    </w:p>
    <w:p w14:paraId="44241E2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Ortmann, Stefanie.</w:t>
      </w:r>
      <w:r w:rsidRPr="005662D8">
        <w:rPr>
          <w:sz w:val="20"/>
          <w:szCs w:val="20"/>
          <w:lang w:val="en-US"/>
        </w:rPr>
        <w:t xml:space="preserve"> 2023. “Russian Spatial Imaginaries and the Invasion of Ukraine: Geopolitics and Nationalist Fantasies.” </w:t>
      </w:r>
      <w:r w:rsidRPr="005662D8">
        <w:rPr>
          <w:rStyle w:val="Enfasicorsivo"/>
          <w:sz w:val="20"/>
          <w:szCs w:val="20"/>
          <w:lang w:val="en-US"/>
        </w:rPr>
        <w:t>Political Geography</w:t>
      </w:r>
      <w:r w:rsidRPr="005662D8">
        <w:rPr>
          <w:sz w:val="20"/>
          <w:szCs w:val="20"/>
          <w:lang w:val="en-US"/>
        </w:rPr>
        <w:t xml:space="preserve"> 101: 102–24. </w:t>
      </w:r>
      <w:hyperlink r:id="rId207" w:history="1">
        <w:r w:rsidRPr="005662D8">
          <w:rPr>
            <w:rStyle w:val="Collegamentoipertestuale"/>
            <w:sz w:val="20"/>
            <w:szCs w:val="20"/>
            <w:lang w:val="en-US"/>
          </w:rPr>
          <w:t>https://doi.org/10.1016/j.polgeo.2022.102784</w:t>
        </w:r>
      </w:hyperlink>
      <w:r w:rsidRPr="005662D8">
        <w:rPr>
          <w:sz w:val="20"/>
          <w:szCs w:val="20"/>
          <w:lang w:val="en-US"/>
        </w:rPr>
        <w:t>.</w:t>
      </w:r>
    </w:p>
    <w:p w14:paraId="38A4E4A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Ostermann, Falk, and Roxanna Sjöstedt.</w:t>
      </w:r>
      <w:r w:rsidRPr="005662D8">
        <w:rPr>
          <w:sz w:val="20"/>
          <w:szCs w:val="20"/>
          <w:lang w:val="en-US"/>
        </w:rPr>
        <w:t xml:space="preserve"> 2022. “Discourse Analysis and Discourse Theories.” In </w:t>
      </w:r>
      <w:r w:rsidRPr="005662D8">
        <w:rPr>
          <w:rStyle w:val="Enfasicorsivo"/>
          <w:sz w:val="20"/>
          <w:szCs w:val="20"/>
          <w:lang w:val="en-US"/>
        </w:rPr>
        <w:t>Routledge Handbook of Foreign Policy Analysis Methods,</w:t>
      </w:r>
      <w:r w:rsidRPr="005662D8">
        <w:rPr>
          <w:sz w:val="20"/>
          <w:szCs w:val="20"/>
          <w:lang w:val="en-US"/>
        </w:rPr>
        <w:t xml:space="preserve"> 101–17. Abingdon, Oxon, United Kingdom: Routledge.</w:t>
      </w:r>
    </w:p>
    <w:p w14:paraId="28E3CC0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Pacher, Andreas.</w:t>
      </w:r>
      <w:r w:rsidRPr="005662D8">
        <w:rPr>
          <w:sz w:val="20"/>
          <w:szCs w:val="20"/>
          <w:lang w:val="en-US"/>
        </w:rPr>
        <w:t xml:space="preserve"> 2019. “The Diplomacy of Post-Soviet de Facto States: Ontological Security under Stigma.” </w:t>
      </w:r>
      <w:r w:rsidRPr="005662D8">
        <w:rPr>
          <w:rStyle w:val="Enfasicorsivo"/>
          <w:sz w:val="20"/>
          <w:szCs w:val="20"/>
          <w:lang w:val="en-US"/>
        </w:rPr>
        <w:t>International Relations</w:t>
      </w:r>
      <w:r w:rsidRPr="005662D8">
        <w:rPr>
          <w:sz w:val="20"/>
          <w:szCs w:val="20"/>
          <w:lang w:val="en-US"/>
        </w:rPr>
        <w:t xml:space="preserve"> 33 (4): 563–85. </w:t>
      </w:r>
      <w:hyperlink r:id="rId208" w:history="1">
        <w:r w:rsidRPr="005662D8">
          <w:rPr>
            <w:rStyle w:val="Collegamentoipertestuale"/>
            <w:sz w:val="20"/>
            <w:szCs w:val="20"/>
            <w:lang w:val="en-US"/>
          </w:rPr>
          <w:t>https://doi.org/10.1177/0047117819856397</w:t>
        </w:r>
      </w:hyperlink>
      <w:r w:rsidRPr="005662D8">
        <w:rPr>
          <w:sz w:val="20"/>
          <w:szCs w:val="20"/>
          <w:lang w:val="en-US"/>
        </w:rPr>
        <w:t>.</w:t>
      </w:r>
    </w:p>
    <w:p w14:paraId="4616223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Pan, Guangyi, and Alexander Korolev.</w:t>
      </w:r>
      <w:r w:rsidRPr="005662D8">
        <w:rPr>
          <w:sz w:val="20"/>
          <w:szCs w:val="20"/>
          <w:lang w:val="en-US"/>
        </w:rPr>
        <w:t xml:space="preserve"> 2021. “The Struggle for Certainty: Ontological Security, the Rise of Nationalism, and Australia–China Tensions after Covid-19.” </w:t>
      </w:r>
      <w:r w:rsidRPr="005662D8">
        <w:rPr>
          <w:rStyle w:val="Enfasicorsivo"/>
          <w:sz w:val="20"/>
          <w:szCs w:val="20"/>
          <w:lang w:val="en-US"/>
        </w:rPr>
        <w:t>Journal of Chinese Political Science</w:t>
      </w:r>
      <w:r w:rsidRPr="005662D8">
        <w:rPr>
          <w:sz w:val="20"/>
          <w:szCs w:val="20"/>
          <w:lang w:val="en-US"/>
        </w:rPr>
        <w:t xml:space="preserve"> 26 (1): 115–38. </w:t>
      </w:r>
      <w:hyperlink r:id="rId209" w:history="1">
        <w:r w:rsidRPr="005662D8">
          <w:rPr>
            <w:rStyle w:val="Collegamentoipertestuale"/>
            <w:sz w:val="20"/>
            <w:szCs w:val="20"/>
            <w:lang w:val="en-US"/>
          </w:rPr>
          <w:t>https://doi.org/10.1007/s11366-020-09710-7</w:t>
        </w:r>
      </w:hyperlink>
      <w:r w:rsidRPr="005662D8">
        <w:rPr>
          <w:sz w:val="20"/>
          <w:szCs w:val="20"/>
          <w:lang w:val="en-US"/>
        </w:rPr>
        <w:t>.</w:t>
      </w:r>
    </w:p>
    <w:p w14:paraId="5A2ABE3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Panossian, Razmik.</w:t>
      </w:r>
      <w:r w:rsidRPr="005662D8">
        <w:rPr>
          <w:sz w:val="20"/>
          <w:szCs w:val="20"/>
          <w:lang w:val="en-US"/>
        </w:rPr>
        <w:t xml:space="preserve"> 2006. </w:t>
      </w:r>
      <w:r w:rsidRPr="005662D8">
        <w:rPr>
          <w:rStyle w:val="Enfasicorsivo"/>
          <w:sz w:val="20"/>
          <w:szCs w:val="20"/>
          <w:lang w:val="en-US"/>
        </w:rPr>
        <w:t>The Armenians: From Kings and Priests to Merchants and Commissars.</w:t>
      </w:r>
      <w:r w:rsidRPr="005662D8">
        <w:rPr>
          <w:sz w:val="20"/>
          <w:szCs w:val="20"/>
          <w:lang w:val="en-US"/>
        </w:rPr>
        <w:t xml:space="preserve"> London, United Kingdom: Hurst &amp; Co.</w:t>
      </w:r>
    </w:p>
    <w:p w14:paraId="34D02CF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Papazian, Taline.</w:t>
      </w:r>
      <w:r w:rsidRPr="005662D8">
        <w:rPr>
          <w:sz w:val="20"/>
          <w:szCs w:val="20"/>
          <w:lang w:val="en-US"/>
        </w:rPr>
        <w:t xml:space="preserve"> 2006. “From Ter-Petrossian to Kocharian: Explaining Continuity in Armenian Foreign Policy, 1991–2003.” </w:t>
      </w:r>
      <w:r w:rsidRPr="005662D8">
        <w:rPr>
          <w:rStyle w:val="Enfasicorsivo"/>
          <w:sz w:val="20"/>
          <w:szCs w:val="20"/>
          <w:lang w:val="en-US"/>
        </w:rPr>
        <w:t>Demokratizatsiya: The Journal of Post-Soviet Democratization</w:t>
      </w:r>
      <w:r w:rsidRPr="005662D8">
        <w:rPr>
          <w:sz w:val="20"/>
          <w:szCs w:val="20"/>
          <w:lang w:val="en-US"/>
        </w:rPr>
        <w:t xml:space="preserve"> 14 (2): 235–51. </w:t>
      </w:r>
      <w:hyperlink r:id="rId210" w:history="1">
        <w:r w:rsidRPr="005662D8">
          <w:rPr>
            <w:rStyle w:val="Collegamentoipertestuale"/>
            <w:sz w:val="20"/>
            <w:szCs w:val="20"/>
            <w:lang w:val="en-US"/>
          </w:rPr>
          <w:t>https://doi.org/10.3200/demo.14.2.235-251</w:t>
        </w:r>
      </w:hyperlink>
      <w:r w:rsidRPr="005662D8">
        <w:rPr>
          <w:sz w:val="20"/>
          <w:szCs w:val="20"/>
          <w:lang w:val="en-US"/>
        </w:rPr>
        <w:t>.</w:t>
      </w:r>
    </w:p>
    <w:p w14:paraId="315978D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Parland, Thomas.</w:t>
      </w:r>
      <w:r w:rsidRPr="005662D8">
        <w:rPr>
          <w:sz w:val="20"/>
          <w:szCs w:val="20"/>
          <w:lang w:val="en-US"/>
        </w:rPr>
        <w:t xml:space="preserve"> 2005. </w:t>
      </w:r>
      <w:r w:rsidRPr="005662D8">
        <w:rPr>
          <w:rStyle w:val="Enfasicorsivo"/>
          <w:sz w:val="20"/>
          <w:szCs w:val="20"/>
          <w:lang w:val="en-US"/>
        </w:rPr>
        <w:t>The Extreme Nationalist Threat in Russia: The Growing Influence of Western Rightist Ideas.</w:t>
      </w:r>
      <w:r w:rsidRPr="005662D8">
        <w:rPr>
          <w:sz w:val="20"/>
          <w:szCs w:val="20"/>
          <w:lang w:val="en-US"/>
        </w:rPr>
        <w:t xml:space="preserve"> London, United Kingdom: Routledge Curzon.</w:t>
      </w:r>
    </w:p>
    <w:p w14:paraId="507D8EA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Payaslian, Simon.</w:t>
      </w:r>
      <w:r w:rsidRPr="005662D8">
        <w:rPr>
          <w:sz w:val="20"/>
          <w:szCs w:val="20"/>
          <w:lang w:val="en-US"/>
        </w:rPr>
        <w:t xml:space="preserve"> 2007. </w:t>
      </w:r>
      <w:r w:rsidRPr="005662D8">
        <w:rPr>
          <w:rStyle w:val="Enfasicorsivo"/>
          <w:sz w:val="20"/>
          <w:szCs w:val="20"/>
          <w:lang w:val="en-US"/>
        </w:rPr>
        <w:t>History of Armenia: From the Origins to the Present.</w:t>
      </w:r>
      <w:r w:rsidRPr="005662D8">
        <w:rPr>
          <w:sz w:val="20"/>
          <w:szCs w:val="20"/>
          <w:lang w:val="en-US"/>
        </w:rPr>
        <w:t xml:space="preserve"> Cham, Germany: Springer Nature.</w:t>
      </w:r>
    </w:p>
    <w:p w14:paraId="7BD729A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Peoples, Columba, and Nick Vaughan-Williams.</w:t>
      </w:r>
      <w:r w:rsidRPr="005662D8">
        <w:rPr>
          <w:sz w:val="20"/>
          <w:szCs w:val="20"/>
          <w:lang w:val="en-US"/>
        </w:rPr>
        <w:t xml:space="preserve"> 2021. </w:t>
      </w:r>
      <w:r w:rsidRPr="005662D8">
        <w:rPr>
          <w:rStyle w:val="Enfasicorsivo"/>
          <w:sz w:val="20"/>
          <w:szCs w:val="20"/>
          <w:lang w:val="en-US"/>
        </w:rPr>
        <w:t>Critical Security Studies: An Introduction.</w:t>
      </w:r>
      <w:r w:rsidRPr="005662D8">
        <w:rPr>
          <w:sz w:val="20"/>
          <w:szCs w:val="20"/>
          <w:lang w:val="en-US"/>
        </w:rPr>
        <w:t xml:space="preserve"> Abingdon, United Kingdom: Routledge.</w:t>
      </w:r>
    </w:p>
    <w:p w14:paraId="086615A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Peristiany, John G.</w:t>
      </w:r>
      <w:r w:rsidRPr="005662D8">
        <w:rPr>
          <w:sz w:val="20"/>
          <w:szCs w:val="20"/>
          <w:lang w:val="en-US"/>
        </w:rPr>
        <w:t xml:space="preserve"> 1974. </w:t>
      </w:r>
      <w:r w:rsidRPr="005662D8">
        <w:rPr>
          <w:rStyle w:val="Enfasicorsivo"/>
          <w:sz w:val="20"/>
          <w:szCs w:val="20"/>
          <w:lang w:val="en-US"/>
        </w:rPr>
        <w:t>Honour and Shame: The Values of Mediterranean Society.</w:t>
      </w:r>
      <w:r w:rsidRPr="005662D8">
        <w:rPr>
          <w:sz w:val="20"/>
          <w:szCs w:val="20"/>
          <w:lang w:val="en-US"/>
        </w:rPr>
        <w:t xml:space="preserve"> Chicago, United States: University of Chicago Press.</w:t>
      </w:r>
    </w:p>
    <w:p w14:paraId="4F5A9398"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Person, Robert, and Michael McFaul.</w:t>
      </w:r>
      <w:r w:rsidRPr="005662D8">
        <w:rPr>
          <w:sz w:val="20"/>
          <w:szCs w:val="20"/>
          <w:lang w:val="en-US"/>
        </w:rPr>
        <w:t xml:space="preserve"> 2022. “What Putin Fears Most.” </w:t>
      </w:r>
      <w:r w:rsidRPr="005662D8">
        <w:rPr>
          <w:rStyle w:val="Enfasicorsivo"/>
          <w:sz w:val="20"/>
          <w:szCs w:val="20"/>
          <w:lang w:val="en-US"/>
        </w:rPr>
        <w:t>Journal of Democracy.</w:t>
      </w:r>
      <w:r w:rsidRPr="005662D8">
        <w:rPr>
          <w:sz w:val="20"/>
          <w:szCs w:val="20"/>
          <w:lang w:val="en-US"/>
        </w:rPr>
        <w:t xml:space="preserve"> </w:t>
      </w:r>
      <w:hyperlink r:id="rId211" w:tgtFrame="_new" w:history="1">
        <w:r w:rsidRPr="005662D8">
          <w:rPr>
            <w:rStyle w:val="Collegamentoipertestuale"/>
            <w:sz w:val="20"/>
            <w:szCs w:val="20"/>
          </w:rPr>
          <w:t>https://www.journalofdemocracy.org/what-putin-fears-most/</w:t>
        </w:r>
      </w:hyperlink>
      <w:r w:rsidRPr="005662D8">
        <w:rPr>
          <w:sz w:val="20"/>
          <w:szCs w:val="20"/>
        </w:rPr>
        <w:t>.</w:t>
      </w:r>
    </w:p>
    <w:p w14:paraId="60DD10D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rPr>
        <w:t>Petersson, Bo.</w:t>
      </w:r>
      <w:r w:rsidRPr="005662D8">
        <w:rPr>
          <w:sz w:val="20"/>
          <w:szCs w:val="20"/>
        </w:rPr>
        <w:t xml:space="preserve"> 2013. </w:t>
      </w:r>
      <w:r w:rsidRPr="005662D8">
        <w:rPr>
          <w:sz w:val="20"/>
          <w:szCs w:val="20"/>
          <w:lang w:val="en-US"/>
        </w:rPr>
        <w:t xml:space="preserve">“The Eternal Great Power Meets the Recurring Times of Troubles: Twin Political Myths in Contemporary Russian Politics.” In </w:t>
      </w:r>
      <w:r w:rsidRPr="005662D8">
        <w:rPr>
          <w:rStyle w:val="Enfasicorsivo"/>
          <w:sz w:val="20"/>
          <w:szCs w:val="20"/>
          <w:lang w:val="en-US"/>
        </w:rPr>
        <w:t>European Cultural Memory Post-89,</w:t>
      </w:r>
      <w:r w:rsidRPr="005662D8">
        <w:rPr>
          <w:sz w:val="20"/>
          <w:szCs w:val="20"/>
          <w:lang w:val="en-US"/>
        </w:rPr>
        <w:t xml:space="preserve"> 301–26. Amsterdam, The Netherlands: Rodopi.</w:t>
      </w:r>
    </w:p>
    <w:p w14:paraId="1BDB49F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Pipes, Richard.</w:t>
      </w:r>
      <w:r w:rsidRPr="005662D8">
        <w:rPr>
          <w:sz w:val="20"/>
          <w:szCs w:val="20"/>
          <w:lang w:val="en-US"/>
        </w:rPr>
        <w:t xml:space="preserve"> 1995. </w:t>
      </w:r>
      <w:r w:rsidRPr="005662D8">
        <w:rPr>
          <w:rStyle w:val="Enfasicorsivo"/>
          <w:sz w:val="20"/>
          <w:szCs w:val="20"/>
          <w:lang w:val="en-US"/>
        </w:rPr>
        <w:t>Russia under the Old Regime.</w:t>
      </w:r>
      <w:r w:rsidRPr="005662D8">
        <w:rPr>
          <w:sz w:val="20"/>
          <w:szCs w:val="20"/>
          <w:lang w:val="en-US"/>
        </w:rPr>
        <w:t xml:space="preserve"> Newport Beach, United States: Books on Tape.</w:t>
      </w:r>
    </w:p>
    <w:p w14:paraId="46B258D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Pitt-Rivers, Julian A.</w:t>
      </w:r>
      <w:r w:rsidRPr="005662D8">
        <w:rPr>
          <w:sz w:val="20"/>
          <w:szCs w:val="20"/>
          <w:lang w:val="en-US"/>
        </w:rPr>
        <w:t xml:space="preserve"> 1965. </w:t>
      </w:r>
      <w:r w:rsidRPr="005662D8">
        <w:rPr>
          <w:rStyle w:val="Enfasicorsivo"/>
          <w:sz w:val="20"/>
          <w:szCs w:val="20"/>
          <w:lang w:val="en-US"/>
        </w:rPr>
        <w:t>The People of the Sierra.</w:t>
      </w:r>
      <w:r w:rsidRPr="005662D8">
        <w:rPr>
          <w:sz w:val="20"/>
          <w:szCs w:val="20"/>
          <w:lang w:val="en-US"/>
        </w:rPr>
        <w:t xml:space="preserve"> Chicago, United States: University of Chicago Press.</w:t>
      </w:r>
    </w:p>
    <w:p w14:paraId="4307C39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rPr>
        <w:t>Platonov, Sergei.</w:t>
      </w:r>
      <w:r w:rsidRPr="005662D8">
        <w:rPr>
          <w:sz w:val="20"/>
          <w:szCs w:val="20"/>
        </w:rPr>
        <w:t xml:space="preserve"> 1996. </w:t>
      </w:r>
      <w:r w:rsidRPr="005662D8">
        <w:rPr>
          <w:rStyle w:val="Enfasicorsivo"/>
          <w:sz w:val="20"/>
          <w:szCs w:val="20"/>
        </w:rPr>
        <w:t>Polnyj Kurs Lekcij po Russkoj Istorii.</w:t>
      </w:r>
      <w:r w:rsidRPr="005662D8">
        <w:rPr>
          <w:sz w:val="20"/>
          <w:szCs w:val="20"/>
        </w:rPr>
        <w:t xml:space="preserve"> </w:t>
      </w:r>
      <w:r w:rsidRPr="005662D8">
        <w:rPr>
          <w:sz w:val="20"/>
          <w:szCs w:val="20"/>
          <w:lang w:val="en-US"/>
        </w:rPr>
        <w:t>Saint Petersburg, Russian Federation: Izdat. dom “Litera.”</w:t>
      </w:r>
    </w:p>
    <w:p w14:paraId="1BE85A1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Pleshakov, Konstantin.</w:t>
      </w:r>
      <w:r w:rsidRPr="005662D8">
        <w:rPr>
          <w:sz w:val="20"/>
          <w:szCs w:val="20"/>
          <w:lang w:val="en-US"/>
        </w:rPr>
        <w:t xml:space="preserve"> 2017. </w:t>
      </w:r>
      <w:r w:rsidRPr="005662D8">
        <w:rPr>
          <w:rStyle w:val="Enfasicorsivo"/>
          <w:sz w:val="20"/>
          <w:szCs w:val="20"/>
          <w:lang w:val="en-US"/>
        </w:rPr>
        <w:t>The Crimean Nexus: Putin’s War and the Clash of Civilizations.</w:t>
      </w:r>
      <w:r w:rsidRPr="005662D8">
        <w:rPr>
          <w:sz w:val="20"/>
          <w:szCs w:val="20"/>
          <w:lang w:val="en-US"/>
        </w:rPr>
        <w:t xml:space="preserve"> New Haven, United States: Yale University Press.</w:t>
      </w:r>
    </w:p>
    <w:p w14:paraId="3BD602F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Poghosyan, Benyamin.</w:t>
      </w:r>
      <w:r w:rsidRPr="005662D8">
        <w:rPr>
          <w:sz w:val="20"/>
          <w:szCs w:val="20"/>
          <w:lang w:val="en-US"/>
        </w:rPr>
        <w:t xml:space="preserve"> 2019. “Deciphering Armenia–Russia Relations after the ‘Velvet Revolution.’” </w:t>
      </w:r>
      <w:r w:rsidRPr="005662D8">
        <w:rPr>
          <w:rStyle w:val="Enfasicorsivo"/>
          <w:sz w:val="20"/>
          <w:szCs w:val="20"/>
          <w:lang w:val="en-US"/>
        </w:rPr>
        <w:t>New Eastern Europe.</w:t>
      </w:r>
      <w:r w:rsidRPr="005662D8">
        <w:rPr>
          <w:sz w:val="20"/>
          <w:szCs w:val="20"/>
          <w:lang w:val="en-US"/>
        </w:rPr>
        <w:t xml:space="preserve"> July 9. </w:t>
      </w:r>
      <w:hyperlink r:id="rId212" w:tgtFrame="_new" w:history="1">
        <w:r w:rsidRPr="005662D8">
          <w:rPr>
            <w:rStyle w:val="Collegamentoipertestuale"/>
            <w:sz w:val="20"/>
            <w:szCs w:val="20"/>
            <w:lang w:val="en-US"/>
          </w:rPr>
          <w:t>https://neweasterneurope.eu/2019/07/09/deciphering-armenia-russia-relations-after-the-velvet-revolution/</w:t>
        </w:r>
      </w:hyperlink>
      <w:r w:rsidRPr="005662D8">
        <w:rPr>
          <w:sz w:val="20"/>
          <w:szCs w:val="20"/>
          <w:lang w:val="en-US"/>
        </w:rPr>
        <w:t>.</w:t>
      </w:r>
    </w:p>
    <w:p w14:paraId="1C3BD3C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Pokalova, Elena.</w:t>
      </w:r>
      <w:r w:rsidRPr="005662D8">
        <w:rPr>
          <w:sz w:val="20"/>
          <w:szCs w:val="20"/>
          <w:lang w:val="en-US"/>
        </w:rPr>
        <w:t xml:space="preserve"> 2014. “Conflict Resolution in Frozen Conflicts: Timing in Nagorno-Karabakh.” </w:t>
      </w:r>
      <w:r w:rsidRPr="005662D8">
        <w:rPr>
          <w:rStyle w:val="Enfasicorsivo"/>
          <w:sz w:val="20"/>
          <w:szCs w:val="20"/>
          <w:lang w:val="en-US"/>
        </w:rPr>
        <w:t>Journal of Balkan and Near Eastern Studies</w:t>
      </w:r>
      <w:r w:rsidRPr="005662D8">
        <w:rPr>
          <w:sz w:val="20"/>
          <w:szCs w:val="20"/>
          <w:lang w:val="en-US"/>
        </w:rPr>
        <w:t xml:space="preserve"> 17 (1): 68–85. </w:t>
      </w:r>
      <w:hyperlink r:id="rId213" w:history="1">
        <w:r w:rsidRPr="005662D8">
          <w:rPr>
            <w:rStyle w:val="Collegamentoipertestuale"/>
            <w:sz w:val="20"/>
            <w:szCs w:val="20"/>
            <w:lang w:val="en-US"/>
          </w:rPr>
          <w:t>https://doi.org/10.1080/19448953.2014.986378</w:t>
        </w:r>
      </w:hyperlink>
      <w:r w:rsidRPr="005662D8">
        <w:rPr>
          <w:sz w:val="20"/>
          <w:szCs w:val="20"/>
          <w:lang w:val="en-US"/>
        </w:rPr>
        <w:t>.</w:t>
      </w:r>
    </w:p>
    <w:p w14:paraId="3E387FA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Pörzgen, Yvonne.</w:t>
      </w:r>
      <w:r w:rsidRPr="005662D8">
        <w:rPr>
          <w:sz w:val="20"/>
          <w:szCs w:val="20"/>
          <w:lang w:val="en-US"/>
        </w:rPr>
        <w:t xml:space="preserve"> 2021. “Parades in Russian Memory Culture.” In </w:t>
      </w:r>
      <w:r w:rsidRPr="005662D8">
        <w:rPr>
          <w:rStyle w:val="Enfasicorsivo"/>
          <w:sz w:val="20"/>
          <w:szCs w:val="20"/>
          <w:lang w:val="en-US"/>
        </w:rPr>
        <w:t>The Memory of the Second World War in Soviet and Post-Soviet Russia,</w:t>
      </w:r>
      <w:r w:rsidRPr="005662D8">
        <w:rPr>
          <w:sz w:val="20"/>
          <w:szCs w:val="20"/>
          <w:lang w:val="en-US"/>
        </w:rPr>
        <w:t xml:space="preserve"> 229–47. Abingdon, Oxon, United Kingdom: Routledge.</w:t>
      </w:r>
    </w:p>
    <w:p w14:paraId="18858435"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President of Russia. “Address by the President of the Russian Federation.” February 24, 2022. Available at: </w:t>
      </w:r>
      <w:hyperlink r:id="rId214" w:tgtFrame="_new" w:history="1">
        <w:r w:rsidRPr="005662D8">
          <w:rPr>
            <w:rStyle w:val="Collegamentoipertestuale"/>
            <w:sz w:val="20"/>
            <w:szCs w:val="20"/>
            <w:lang w:val="en-US"/>
          </w:rPr>
          <w:t>http://en.kremlin.ru/events/president/news/67843</w:t>
        </w:r>
      </w:hyperlink>
      <w:r w:rsidRPr="005662D8">
        <w:rPr>
          <w:sz w:val="20"/>
          <w:szCs w:val="20"/>
          <w:lang w:val="en-US"/>
        </w:rPr>
        <w:t xml:space="preserve"> (accessed on November 19, 2025).</w:t>
      </w:r>
    </w:p>
    <w:p w14:paraId="552D9F9F"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President of Russia. “Address to Citizens of Russia.” June 24, 2023. Available at: </w:t>
      </w:r>
      <w:hyperlink r:id="rId215" w:tgtFrame="_new" w:history="1">
        <w:r w:rsidRPr="005662D8">
          <w:rPr>
            <w:rStyle w:val="Collegamentoipertestuale"/>
            <w:sz w:val="20"/>
            <w:szCs w:val="20"/>
            <w:lang w:val="en-US"/>
          </w:rPr>
          <w:t>http://en.kremlin.ru/events/president/news/71496</w:t>
        </w:r>
      </w:hyperlink>
      <w:r w:rsidRPr="005662D8">
        <w:rPr>
          <w:sz w:val="20"/>
          <w:szCs w:val="20"/>
          <w:lang w:val="en-US"/>
        </w:rPr>
        <w:t xml:space="preserve"> (accessed on November 19, 2025).</w:t>
      </w:r>
    </w:p>
    <w:p w14:paraId="525183B5"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President of Russia. “Address to the Federal Assembly.” December 12, 2012. Available at: </w:t>
      </w:r>
      <w:hyperlink r:id="rId216" w:tgtFrame="_new" w:history="1">
        <w:r w:rsidRPr="005662D8">
          <w:rPr>
            <w:rStyle w:val="Collegamentoipertestuale"/>
            <w:sz w:val="20"/>
            <w:szCs w:val="20"/>
            <w:lang w:val="en-US"/>
          </w:rPr>
          <w:t>http://en.kremlin.ru/events/president/news/17118/photos</w:t>
        </w:r>
      </w:hyperlink>
      <w:r w:rsidRPr="005662D8">
        <w:rPr>
          <w:sz w:val="20"/>
          <w:szCs w:val="20"/>
          <w:lang w:val="en-US"/>
        </w:rPr>
        <w:t xml:space="preserve"> (accessed on November 19, 2025).</w:t>
      </w:r>
    </w:p>
    <w:p w14:paraId="1C3694A4"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President of Russia. “Annual Address to the Federal Assembly of the Russian Federation.” May 16, 2003. Available at: </w:t>
      </w:r>
      <w:hyperlink r:id="rId217" w:tgtFrame="_new" w:history="1">
        <w:r w:rsidRPr="005662D8">
          <w:rPr>
            <w:rStyle w:val="Collegamentoipertestuale"/>
            <w:sz w:val="20"/>
            <w:szCs w:val="20"/>
            <w:lang w:val="en-US"/>
          </w:rPr>
          <w:t>http://en.kremlin.ru/events/president/transcripts/21998</w:t>
        </w:r>
      </w:hyperlink>
      <w:r w:rsidRPr="005662D8">
        <w:rPr>
          <w:sz w:val="20"/>
          <w:szCs w:val="20"/>
          <w:lang w:val="en-US"/>
        </w:rPr>
        <w:t xml:space="preserve"> (accessed on November 19, 2025).</w:t>
      </w:r>
    </w:p>
    <w:p w14:paraId="74F121E7"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President of Russia. 2014b. “Vladimir Putin Took Part in the Plenary Session of the 18th St Petersburg International Economic Forum.” May 23. </w:t>
      </w:r>
      <w:hyperlink r:id="rId218" w:tgtFrame="_new" w:history="1">
        <w:r w:rsidRPr="005662D8">
          <w:rPr>
            <w:rStyle w:val="Collegamentoipertestuale"/>
            <w:sz w:val="20"/>
            <w:szCs w:val="20"/>
            <w:lang w:val="en-US"/>
          </w:rPr>
          <w:t>http://en.kremlin.ru/events/president/news/21080</w:t>
        </w:r>
      </w:hyperlink>
    </w:p>
    <w:p w14:paraId="52851F5E" w14:textId="0B92CA7F"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Pupcenoks, Juris, and Eric Seltzer.</w:t>
      </w:r>
      <w:r w:rsidRPr="005662D8">
        <w:rPr>
          <w:sz w:val="20"/>
          <w:szCs w:val="20"/>
          <w:lang w:val="en-US"/>
        </w:rPr>
        <w:t xml:space="preserve"> 2020. “Russian Strategic Narratives on R2P in the ‘Near Abroad.’” </w:t>
      </w:r>
      <w:r w:rsidRPr="005662D8">
        <w:rPr>
          <w:rStyle w:val="Enfasicorsivo"/>
          <w:sz w:val="20"/>
          <w:szCs w:val="20"/>
          <w:lang w:val="en-US"/>
        </w:rPr>
        <w:t>Nationalities Papers</w:t>
      </w:r>
      <w:r w:rsidRPr="005662D8">
        <w:rPr>
          <w:sz w:val="20"/>
          <w:szCs w:val="20"/>
          <w:lang w:val="en-US"/>
        </w:rPr>
        <w:t xml:space="preserve"> 49 (4): 757–75. </w:t>
      </w:r>
      <w:hyperlink r:id="rId219" w:history="1">
        <w:r w:rsidR="00CC5EE6" w:rsidRPr="00F3725E">
          <w:rPr>
            <w:rStyle w:val="Collegamentoipertestuale"/>
            <w:sz w:val="20"/>
            <w:szCs w:val="20"/>
            <w:lang w:val="en-US"/>
          </w:rPr>
          <w:t>https://doi.org/10.1017/nps.2020.54</w:t>
        </w:r>
      </w:hyperlink>
      <w:r w:rsidRPr="005662D8">
        <w:rPr>
          <w:sz w:val="20"/>
          <w:szCs w:val="20"/>
          <w:lang w:val="en-US"/>
        </w:rPr>
        <w:t>.</w:t>
      </w:r>
    </w:p>
    <w:p w14:paraId="0395B99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Pushkin, Aleksandr.</w:t>
      </w:r>
      <w:r w:rsidRPr="005662D8">
        <w:rPr>
          <w:sz w:val="20"/>
          <w:szCs w:val="20"/>
          <w:lang w:val="en-US"/>
        </w:rPr>
        <w:t xml:space="preserve"> 1974. “Puteshestvie v Arzrum vo Vremia Pokhoda 1829 Goda.” In </w:t>
      </w:r>
      <w:r w:rsidRPr="005662D8">
        <w:rPr>
          <w:rStyle w:val="Enfasicorsivo"/>
          <w:sz w:val="20"/>
          <w:szCs w:val="20"/>
          <w:lang w:val="en-US"/>
        </w:rPr>
        <w:t>Sochineniia v Trekh Tomakh,</w:t>
      </w:r>
      <w:r w:rsidRPr="005662D8">
        <w:rPr>
          <w:sz w:val="20"/>
          <w:szCs w:val="20"/>
          <w:lang w:val="en-US"/>
        </w:rPr>
        <w:t xml:space="preserve"> vol. III, 532–618. Moscow, Russian Federation: Khudozhestvennaya Literatura.</w:t>
      </w:r>
    </w:p>
    <w:p w14:paraId="21FDD09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Rácz, András.</w:t>
      </w:r>
      <w:r w:rsidRPr="005662D8">
        <w:rPr>
          <w:sz w:val="20"/>
          <w:szCs w:val="20"/>
          <w:lang w:val="en-US"/>
        </w:rPr>
        <w:t xml:space="preserve"> 2020. “War in Nagorno-Karabakh: A Two-Track Strategy for the EU.” </w:t>
      </w:r>
      <w:r w:rsidRPr="005662D8">
        <w:rPr>
          <w:rStyle w:val="Enfasicorsivo"/>
          <w:sz w:val="20"/>
          <w:szCs w:val="20"/>
          <w:lang w:val="en-US"/>
        </w:rPr>
        <w:t>DGAP Commentary</w:t>
      </w:r>
      <w:r w:rsidRPr="005662D8">
        <w:rPr>
          <w:sz w:val="20"/>
          <w:szCs w:val="20"/>
          <w:lang w:val="en-US"/>
        </w:rPr>
        <w:t xml:space="preserve"> 30.</w:t>
      </w:r>
    </w:p>
    <w:p w14:paraId="2137F89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Ragin, Charles C.</w:t>
      </w:r>
      <w:r w:rsidRPr="005662D8">
        <w:rPr>
          <w:sz w:val="20"/>
          <w:szCs w:val="20"/>
          <w:lang w:val="en-US"/>
        </w:rPr>
        <w:t xml:space="preserve"> 2009. </w:t>
      </w:r>
      <w:r w:rsidRPr="005662D8">
        <w:rPr>
          <w:rStyle w:val="Enfasicorsivo"/>
          <w:sz w:val="20"/>
          <w:szCs w:val="20"/>
          <w:lang w:val="en-US"/>
        </w:rPr>
        <w:t>Fuzzy-Set Social Science.</w:t>
      </w:r>
      <w:r w:rsidRPr="005662D8">
        <w:rPr>
          <w:sz w:val="20"/>
          <w:szCs w:val="20"/>
          <w:lang w:val="en-US"/>
        </w:rPr>
        <w:t xml:space="preserve"> Chicago, United States: University of Chicago Press.</w:t>
      </w:r>
    </w:p>
    <w:p w14:paraId="7B477FA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Rapoza, Kenneth.</w:t>
      </w:r>
      <w:r w:rsidRPr="005662D8">
        <w:rPr>
          <w:sz w:val="20"/>
          <w:szCs w:val="20"/>
          <w:lang w:val="en-US"/>
        </w:rPr>
        <w:t xml:space="preserve"> 2023. “EU Worries Russia Will Try Thwarting Lucrative Gas Deal with Azerbaijan.” </w:t>
      </w:r>
      <w:r w:rsidRPr="005662D8">
        <w:rPr>
          <w:rStyle w:val="Enfasicorsivo"/>
          <w:sz w:val="20"/>
          <w:szCs w:val="20"/>
          <w:lang w:val="en-US"/>
        </w:rPr>
        <w:t>Forbes.</w:t>
      </w:r>
      <w:r w:rsidRPr="005662D8">
        <w:rPr>
          <w:sz w:val="20"/>
          <w:szCs w:val="20"/>
          <w:lang w:val="en-US"/>
        </w:rPr>
        <w:t xml:space="preserve"> June 28. </w:t>
      </w:r>
      <w:hyperlink r:id="rId220" w:tgtFrame="_new" w:history="1">
        <w:r w:rsidRPr="005662D8">
          <w:rPr>
            <w:rStyle w:val="Collegamentoipertestuale"/>
            <w:sz w:val="20"/>
            <w:szCs w:val="20"/>
            <w:lang w:val="en-US"/>
          </w:rPr>
          <w:t>https://www.forbes.com/sites/kenrapoza/2023/06/25/eu-worries-russia-will-try-thwarting-lucrative-gas-deal-with-azerbaijan/</w:t>
        </w:r>
      </w:hyperlink>
      <w:r w:rsidRPr="005662D8">
        <w:rPr>
          <w:sz w:val="20"/>
          <w:szCs w:val="20"/>
          <w:lang w:val="en-US"/>
        </w:rPr>
        <w:t>.</w:t>
      </w:r>
    </w:p>
    <w:p w14:paraId="00F8431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Reisigl, Martin, and Ruth Wodak.</w:t>
      </w:r>
      <w:r w:rsidRPr="005662D8">
        <w:rPr>
          <w:sz w:val="20"/>
          <w:szCs w:val="20"/>
          <w:lang w:val="en-US"/>
        </w:rPr>
        <w:t xml:space="preserve"> 2006. “The Discourse-Historical Approach (DHA).” In </w:t>
      </w:r>
      <w:r w:rsidRPr="005662D8">
        <w:rPr>
          <w:rStyle w:val="Enfasicorsivo"/>
          <w:sz w:val="20"/>
          <w:szCs w:val="20"/>
          <w:lang w:val="en-US"/>
        </w:rPr>
        <w:t>Methods of Critical Discourse Analysis,</w:t>
      </w:r>
      <w:r w:rsidRPr="005662D8">
        <w:rPr>
          <w:sz w:val="20"/>
          <w:szCs w:val="20"/>
          <w:lang w:val="en-US"/>
        </w:rPr>
        <w:t xml:space="preserve"> 87–121. San Francisco, United States: SAGE.</w:t>
      </w:r>
    </w:p>
    <w:p w14:paraId="4F32B01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rPr>
        <w:t>Resende, Erica Simone Almeida, and Dovile Budryte.</w:t>
      </w:r>
      <w:r w:rsidRPr="005662D8">
        <w:rPr>
          <w:sz w:val="20"/>
          <w:szCs w:val="20"/>
        </w:rPr>
        <w:t xml:space="preserve"> </w:t>
      </w:r>
      <w:r w:rsidRPr="005662D8">
        <w:rPr>
          <w:sz w:val="20"/>
          <w:szCs w:val="20"/>
          <w:lang w:val="en-US"/>
        </w:rPr>
        <w:t xml:space="preserve">2014a. </w:t>
      </w:r>
      <w:r w:rsidRPr="005662D8">
        <w:rPr>
          <w:rStyle w:val="Enfasicorsivo"/>
          <w:sz w:val="20"/>
          <w:szCs w:val="20"/>
          <w:lang w:val="en-US"/>
        </w:rPr>
        <w:t>Memory and Trauma in International Relations: Theories, Cases and Debates.</w:t>
      </w:r>
      <w:r w:rsidRPr="005662D8">
        <w:rPr>
          <w:sz w:val="20"/>
          <w:szCs w:val="20"/>
          <w:lang w:val="en-US"/>
        </w:rPr>
        <w:t xml:space="preserve"> Abingdon, Oxon, United Kingdom: Routledge.</w:t>
      </w:r>
    </w:p>
    <w:p w14:paraId="6699F09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Riegg, Stephen Badalyan.</w:t>
      </w:r>
      <w:r w:rsidRPr="005662D8">
        <w:rPr>
          <w:sz w:val="20"/>
          <w:szCs w:val="20"/>
          <w:lang w:val="en-US"/>
        </w:rPr>
        <w:t xml:space="preserve"> 2021. </w:t>
      </w:r>
      <w:r w:rsidRPr="005662D8">
        <w:rPr>
          <w:rStyle w:val="Enfasicorsivo"/>
          <w:sz w:val="20"/>
          <w:szCs w:val="20"/>
          <w:lang w:val="en-US"/>
        </w:rPr>
        <w:t>Russia’s Entangled Embrace: The Tsarist Empire and the Armenians, 1801–1914.</w:t>
      </w:r>
      <w:r w:rsidRPr="005662D8">
        <w:rPr>
          <w:sz w:val="20"/>
          <w:szCs w:val="20"/>
          <w:lang w:val="en-US"/>
        </w:rPr>
        <w:t xml:space="preserve"> Ithaca, United States: Cornell University Press.</w:t>
      </w:r>
    </w:p>
    <w:p w14:paraId="3AAFC9C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Ringmar, Erik.</w:t>
      </w:r>
      <w:r w:rsidRPr="005662D8">
        <w:rPr>
          <w:sz w:val="20"/>
          <w:szCs w:val="20"/>
          <w:lang w:val="en-US"/>
        </w:rPr>
        <w:t xml:space="preserve"> 2002. “The Recognition Game.” </w:t>
      </w:r>
      <w:r w:rsidRPr="005662D8">
        <w:rPr>
          <w:rStyle w:val="Enfasicorsivo"/>
          <w:sz w:val="20"/>
          <w:szCs w:val="20"/>
          <w:lang w:val="en-US"/>
        </w:rPr>
        <w:t>Cooperation and Conflict</w:t>
      </w:r>
      <w:r w:rsidRPr="005662D8">
        <w:rPr>
          <w:sz w:val="20"/>
          <w:szCs w:val="20"/>
          <w:lang w:val="en-US"/>
        </w:rPr>
        <w:t xml:space="preserve"> 37 (2): 115–36. </w:t>
      </w:r>
      <w:hyperlink r:id="rId221" w:history="1">
        <w:r w:rsidRPr="005662D8">
          <w:rPr>
            <w:rStyle w:val="Collegamentoipertestuale"/>
            <w:sz w:val="20"/>
            <w:szCs w:val="20"/>
            <w:lang w:val="en-US"/>
          </w:rPr>
          <w:t>https://doi.org/10.1177/0010836702037002973</w:t>
        </w:r>
      </w:hyperlink>
      <w:r w:rsidRPr="005662D8">
        <w:rPr>
          <w:sz w:val="20"/>
          <w:szCs w:val="20"/>
          <w:lang w:val="en-US"/>
        </w:rPr>
        <w:t>.</w:t>
      </w:r>
    </w:p>
    <w:p w14:paraId="04DD2AA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Rodriguez Mosquera, Patricia M.</w:t>
      </w:r>
      <w:r w:rsidRPr="005662D8">
        <w:rPr>
          <w:sz w:val="20"/>
          <w:szCs w:val="20"/>
          <w:lang w:val="en-US"/>
        </w:rPr>
        <w:t xml:space="preserve"> 2022. “Cultures of Honor.” </w:t>
      </w:r>
      <w:r w:rsidRPr="005662D8">
        <w:rPr>
          <w:rStyle w:val="Enfasicorsivo"/>
          <w:sz w:val="20"/>
          <w:szCs w:val="20"/>
          <w:lang w:val="en-US"/>
        </w:rPr>
        <w:t>Oxford Research Encyclopedia of Psychology,</w:t>
      </w:r>
      <w:r w:rsidRPr="005662D8">
        <w:rPr>
          <w:sz w:val="20"/>
          <w:szCs w:val="20"/>
          <w:lang w:val="en-US"/>
        </w:rPr>
        <w:t xml:space="preserve"> August. </w:t>
      </w:r>
      <w:hyperlink r:id="rId222" w:history="1">
        <w:r w:rsidRPr="005662D8">
          <w:rPr>
            <w:rStyle w:val="Collegamentoipertestuale"/>
            <w:sz w:val="20"/>
            <w:szCs w:val="20"/>
            <w:lang w:val="en-US"/>
          </w:rPr>
          <w:t>https://doi.org/10.1093/acrefore/9780190236557.013.295</w:t>
        </w:r>
      </w:hyperlink>
      <w:r w:rsidRPr="005662D8">
        <w:rPr>
          <w:sz w:val="20"/>
          <w:szCs w:val="20"/>
          <w:lang w:val="en-US"/>
        </w:rPr>
        <w:t>.</w:t>
      </w:r>
    </w:p>
    <w:p w14:paraId="33BAA54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Roe, Paul.</w:t>
      </w:r>
      <w:r w:rsidRPr="005662D8">
        <w:rPr>
          <w:sz w:val="20"/>
          <w:szCs w:val="20"/>
          <w:lang w:val="en-US"/>
        </w:rPr>
        <w:t xml:space="preserve"> 2008. “The ‘Value’ of Positive Security.” </w:t>
      </w:r>
      <w:r w:rsidRPr="005662D8">
        <w:rPr>
          <w:rStyle w:val="Enfasicorsivo"/>
          <w:sz w:val="20"/>
          <w:szCs w:val="20"/>
          <w:lang w:val="en-US"/>
        </w:rPr>
        <w:t>Review of International Studies</w:t>
      </w:r>
      <w:r w:rsidRPr="005662D8">
        <w:rPr>
          <w:sz w:val="20"/>
          <w:szCs w:val="20"/>
          <w:lang w:val="en-US"/>
        </w:rPr>
        <w:t xml:space="preserve"> 34 (4): 777–94. </w:t>
      </w:r>
      <w:hyperlink r:id="rId223" w:history="1">
        <w:r w:rsidRPr="005662D8">
          <w:rPr>
            <w:rStyle w:val="Collegamentoipertestuale"/>
            <w:sz w:val="20"/>
            <w:szCs w:val="20"/>
            <w:lang w:val="en-US"/>
          </w:rPr>
          <w:t>https://doi.org/10.1017/S0260210508008279</w:t>
        </w:r>
      </w:hyperlink>
      <w:r w:rsidRPr="005662D8">
        <w:rPr>
          <w:sz w:val="20"/>
          <w:szCs w:val="20"/>
          <w:lang w:val="en-US"/>
        </w:rPr>
        <w:t>.</w:t>
      </w:r>
    </w:p>
    <w:p w14:paraId="1A62A53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Romanovskij, Dmitrij.</w:t>
      </w:r>
      <w:r w:rsidRPr="005662D8">
        <w:rPr>
          <w:sz w:val="20"/>
          <w:szCs w:val="20"/>
          <w:lang w:val="en-US"/>
        </w:rPr>
        <w:t xml:space="preserve"> 2013. </w:t>
      </w:r>
      <w:r w:rsidRPr="005662D8">
        <w:rPr>
          <w:rStyle w:val="Enfasicorsivo"/>
          <w:sz w:val="20"/>
          <w:szCs w:val="20"/>
          <w:lang w:val="en-US"/>
        </w:rPr>
        <w:t>The Third Rome: Russian Imperium Idea Development.</w:t>
      </w:r>
      <w:r w:rsidRPr="005662D8">
        <w:rPr>
          <w:sz w:val="20"/>
          <w:szCs w:val="20"/>
          <w:lang w:val="en-US"/>
        </w:rPr>
        <w:t xml:space="preserve"> Kraków, Poland: Księgarnia Akademicka.</w:t>
      </w:r>
    </w:p>
    <w:p w14:paraId="55696A2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Rumelili, Bahar.</w:t>
      </w:r>
      <w:r w:rsidRPr="005662D8">
        <w:rPr>
          <w:sz w:val="20"/>
          <w:szCs w:val="20"/>
          <w:lang w:val="en-US"/>
        </w:rPr>
        <w:t xml:space="preserve"> 2013a. “Identity and Desecuritisation: The Pitfalls of Conflating Ontological and Physical Security.” </w:t>
      </w:r>
      <w:r w:rsidRPr="005662D8">
        <w:rPr>
          <w:rStyle w:val="Enfasicorsivo"/>
          <w:sz w:val="20"/>
          <w:szCs w:val="20"/>
          <w:lang w:val="en-US"/>
        </w:rPr>
        <w:t>Journal of International Relations and Development</w:t>
      </w:r>
      <w:r w:rsidRPr="005662D8">
        <w:rPr>
          <w:sz w:val="20"/>
          <w:szCs w:val="20"/>
          <w:lang w:val="en-US"/>
        </w:rPr>
        <w:t xml:space="preserve"> 18 (1): 52–74. </w:t>
      </w:r>
      <w:hyperlink r:id="rId224" w:history="1">
        <w:r w:rsidRPr="005662D8">
          <w:rPr>
            <w:rStyle w:val="Collegamentoipertestuale"/>
            <w:sz w:val="20"/>
            <w:szCs w:val="20"/>
            <w:lang w:val="en-US"/>
          </w:rPr>
          <w:t>https://doi.org/10.1057/jird.2013.22</w:t>
        </w:r>
      </w:hyperlink>
      <w:r w:rsidRPr="005662D8">
        <w:rPr>
          <w:sz w:val="20"/>
          <w:szCs w:val="20"/>
          <w:lang w:val="en-US"/>
        </w:rPr>
        <w:t>.</w:t>
      </w:r>
    </w:p>
    <w:p w14:paraId="481A29F7"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Russkiy Mir Foundation. 2025. Available at: </w:t>
      </w:r>
      <w:hyperlink r:id="rId225" w:tgtFrame="_new" w:history="1">
        <w:r w:rsidRPr="005662D8">
          <w:rPr>
            <w:rStyle w:val="Collegamentoipertestuale"/>
            <w:sz w:val="20"/>
            <w:szCs w:val="20"/>
            <w:lang w:val="en-US"/>
          </w:rPr>
          <w:t>https://en.russkiymir.ru/</w:t>
        </w:r>
      </w:hyperlink>
      <w:r w:rsidRPr="005662D8">
        <w:rPr>
          <w:sz w:val="20"/>
          <w:szCs w:val="20"/>
          <w:lang w:val="en-US"/>
        </w:rPr>
        <w:t xml:space="preserve"> (accessed on November 19, 2025).</w:t>
      </w:r>
    </w:p>
    <w:p w14:paraId="2EC8D3B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Ryabova, Tatyana, and Oleg Ryabov.</w:t>
      </w:r>
      <w:r w:rsidRPr="005662D8">
        <w:rPr>
          <w:sz w:val="20"/>
          <w:szCs w:val="20"/>
          <w:lang w:val="en-US"/>
        </w:rPr>
        <w:t xml:space="preserve"> 2010. “The Real Man of Russia’s Politics? (To the Question of Gender Discourse as Power Resource).” </w:t>
      </w:r>
      <w:r w:rsidRPr="005662D8">
        <w:rPr>
          <w:rStyle w:val="Enfasicorsivo"/>
          <w:sz w:val="20"/>
          <w:szCs w:val="20"/>
          <w:lang w:val="en-US"/>
        </w:rPr>
        <w:t>Polis. Political Studies</w:t>
      </w:r>
      <w:r w:rsidRPr="005662D8">
        <w:rPr>
          <w:sz w:val="20"/>
          <w:szCs w:val="20"/>
          <w:lang w:val="en-US"/>
        </w:rPr>
        <w:t xml:space="preserve"> 5.</w:t>
      </w:r>
    </w:p>
    <w:p w14:paraId="696F6F1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Ryan, Katie.</w:t>
      </w:r>
      <w:r w:rsidRPr="005662D8">
        <w:rPr>
          <w:sz w:val="20"/>
          <w:szCs w:val="20"/>
          <w:lang w:val="en-US"/>
        </w:rPr>
        <w:t xml:space="preserve"> 2014. “Address by President of the Russian Federation.” </w:t>
      </w:r>
      <w:r w:rsidRPr="005662D8">
        <w:rPr>
          <w:rStyle w:val="Enfasicorsivo"/>
          <w:sz w:val="20"/>
          <w:szCs w:val="20"/>
          <w:lang w:val="en-US"/>
        </w:rPr>
        <w:t>President of Russia.</w:t>
      </w:r>
      <w:r w:rsidRPr="005662D8">
        <w:rPr>
          <w:sz w:val="20"/>
          <w:szCs w:val="20"/>
          <w:lang w:val="en-US"/>
        </w:rPr>
        <w:t xml:space="preserve"> March 18. </w:t>
      </w:r>
      <w:hyperlink r:id="rId226" w:tgtFrame="_new" w:history="1">
        <w:r w:rsidRPr="005662D8">
          <w:rPr>
            <w:rStyle w:val="Collegamentoipertestuale"/>
            <w:sz w:val="20"/>
            <w:szCs w:val="20"/>
            <w:lang w:val="en-US"/>
          </w:rPr>
          <w:t>http://www.en.kremlin.ru/events/president/news/20603</w:t>
        </w:r>
      </w:hyperlink>
      <w:r w:rsidRPr="005662D8">
        <w:rPr>
          <w:sz w:val="20"/>
          <w:szCs w:val="20"/>
          <w:lang w:val="en-US"/>
        </w:rPr>
        <w:t>.</w:t>
      </w:r>
    </w:p>
    <w:p w14:paraId="7305D477"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Ryan, Katie. 2023. “Russia’s Search for Ontological Security and the Ukraine Invasion.” </w:t>
      </w:r>
      <w:r w:rsidRPr="005662D8">
        <w:rPr>
          <w:rStyle w:val="Enfasicorsivo"/>
          <w:sz w:val="20"/>
          <w:szCs w:val="20"/>
          <w:lang w:val="en-US"/>
        </w:rPr>
        <w:t>Australian and New Zealand Journal of European Studies</w:t>
      </w:r>
      <w:r w:rsidRPr="005662D8">
        <w:rPr>
          <w:sz w:val="20"/>
          <w:szCs w:val="20"/>
          <w:lang w:val="en-US"/>
        </w:rPr>
        <w:t xml:space="preserve"> 15 (1): 82–93. </w:t>
      </w:r>
      <w:hyperlink r:id="rId227" w:history="1">
        <w:r w:rsidRPr="005662D8">
          <w:rPr>
            <w:rStyle w:val="Collegamentoipertestuale"/>
            <w:sz w:val="20"/>
            <w:szCs w:val="20"/>
            <w:lang w:val="en-US"/>
          </w:rPr>
          <w:t>https://doi.org/10.30722/anzjes.vol15.iss1.17369</w:t>
        </w:r>
      </w:hyperlink>
      <w:r w:rsidRPr="005662D8">
        <w:rPr>
          <w:sz w:val="20"/>
          <w:szCs w:val="20"/>
          <w:lang w:val="en-US"/>
        </w:rPr>
        <w:t>.</w:t>
      </w:r>
    </w:p>
    <w:p w14:paraId="41B4D6E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Sadriu, Behar.</w:t>
      </w:r>
      <w:r w:rsidRPr="005662D8">
        <w:rPr>
          <w:sz w:val="20"/>
          <w:szCs w:val="20"/>
          <w:lang w:val="en-US"/>
        </w:rPr>
        <w:t xml:space="preserve"> 2021. “Narratives in International Studies Research.” </w:t>
      </w:r>
      <w:r w:rsidRPr="005662D8">
        <w:rPr>
          <w:rStyle w:val="Enfasicorsivo"/>
          <w:sz w:val="20"/>
          <w:szCs w:val="20"/>
          <w:lang w:val="en-US"/>
        </w:rPr>
        <w:t>Oxford Research Encyclopedia of International Studies,</w:t>
      </w:r>
      <w:r w:rsidRPr="005662D8">
        <w:rPr>
          <w:sz w:val="20"/>
          <w:szCs w:val="20"/>
          <w:lang w:val="en-US"/>
        </w:rPr>
        <w:t xml:space="preserve"> February, 1–23. </w:t>
      </w:r>
      <w:hyperlink r:id="rId228" w:history="1">
        <w:r w:rsidRPr="005662D8">
          <w:rPr>
            <w:rStyle w:val="Collegamentoipertestuale"/>
            <w:sz w:val="20"/>
            <w:szCs w:val="20"/>
            <w:lang w:val="en-US"/>
          </w:rPr>
          <w:t>https://doi.org/10.1093/acrefore/9780190846626.013.546</w:t>
        </w:r>
      </w:hyperlink>
      <w:r w:rsidRPr="005662D8">
        <w:rPr>
          <w:sz w:val="20"/>
          <w:szCs w:val="20"/>
          <w:lang w:val="en-US"/>
        </w:rPr>
        <w:t>.</w:t>
      </w:r>
    </w:p>
    <w:p w14:paraId="51A48D7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Sagramoso, Domitilla.</w:t>
      </w:r>
      <w:r w:rsidRPr="005662D8">
        <w:rPr>
          <w:sz w:val="20"/>
          <w:szCs w:val="20"/>
          <w:lang w:val="en-US"/>
        </w:rPr>
        <w:t xml:space="preserve"> 2000. “Russia’s Geopolitical Orientation towards the Former Soviet States: Was Russia Able to Discard Its Imperial Legacy?” PhD thesis, University of London.</w:t>
      </w:r>
    </w:p>
    <w:p w14:paraId="30D4079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Samokhvalov, Vsevolod.</w:t>
      </w:r>
      <w:r w:rsidRPr="005662D8">
        <w:rPr>
          <w:sz w:val="20"/>
          <w:szCs w:val="20"/>
          <w:lang w:val="en-US"/>
        </w:rPr>
        <w:t xml:space="preserve"> 2017a. “Russia and Its Shared Neighbourhoods: A Comparative Analysis of Russia–EU and Russia–China Relations in the EU’s Eastern Neighbourhood and Central Asia.” </w:t>
      </w:r>
      <w:r w:rsidRPr="005662D8">
        <w:rPr>
          <w:rStyle w:val="Enfasicorsivo"/>
          <w:sz w:val="20"/>
          <w:szCs w:val="20"/>
          <w:lang w:val="en-US"/>
        </w:rPr>
        <w:t>Contemporary Politics</w:t>
      </w:r>
      <w:r w:rsidRPr="005662D8">
        <w:rPr>
          <w:sz w:val="20"/>
          <w:szCs w:val="20"/>
          <w:lang w:val="en-US"/>
        </w:rPr>
        <w:t xml:space="preserve"> 24 (1): 30–45. </w:t>
      </w:r>
      <w:hyperlink r:id="rId229" w:history="1">
        <w:r w:rsidRPr="005662D8">
          <w:rPr>
            <w:rStyle w:val="Collegamentoipertestuale"/>
            <w:sz w:val="20"/>
            <w:szCs w:val="20"/>
            <w:lang w:val="en-US"/>
          </w:rPr>
          <w:t>https://doi.org/10.1080/13569775.2017.1408171</w:t>
        </w:r>
      </w:hyperlink>
      <w:r w:rsidRPr="005662D8">
        <w:rPr>
          <w:sz w:val="20"/>
          <w:szCs w:val="20"/>
          <w:lang w:val="en-US"/>
        </w:rPr>
        <w:t>.</w:t>
      </w:r>
    </w:p>
    <w:p w14:paraId="5134F5C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Sandoz, Ellis.</w:t>
      </w:r>
      <w:r w:rsidRPr="005662D8">
        <w:rPr>
          <w:sz w:val="20"/>
          <w:szCs w:val="20"/>
          <w:lang w:val="en-US"/>
        </w:rPr>
        <w:t xml:space="preserve"> 1978. “Philosophical Dimensions of Dostoevsky’s Politics.” </w:t>
      </w:r>
      <w:r w:rsidRPr="005662D8">
        <w:rPr>
          <w:rStyle w:val="Enfasicorsivo"/>
          <w:sz w:val="20"/>
          <w:szCs w:val="20"/>
          <w:lang w:val="en-US"/>
        </w:rPr>
        <w:t>The Journal of Politics</w:t>
      </w:r>
      <w:r w:rsidRPr="005662D8">
        <w:rPr>
          <w:sz w:val="20"/>
          <w:szCs w:val="20"/>
          <w:lang w:val="en-US"/>
        </w:rPr>
        <w:t xml:space="preserve"> 40 (3): 648–74. </w:t>
      </w:r>
      <w:hyperlink r:id="rId230" w:history="1">
        <w:r w:rsidRPr="005662D8">
          <w:rPr>
            <w:rStyle w:val="Collegamentoipertestuale"/>
            <w:sz w:val="20"/>
            <w:szCs w:val="20"/>
            <w:lang w:val="en-US"/>
          </w:rPr>
          <w:t>https://doi.org/10.2307/2129860</w:t>
        </w:r>
      </w:hyperlink>
      <w:r w:rsidRPr="005662D8">
        <w:rPr>
          <w:sz w:val="20"/>
          <w:szCs w:val="20"/>
          <w:lang w:val="en-US"/>
        </w:rPr>
        <w:t>.</w:t>
      </w:r>
    </w:p>
    <w:p w14:paraId="77C530F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Sangar, Eric, Maéva Clément, and Thomas Lindemann.</w:t>
      </w:r>
      <w:r w:rsidRPr="005662D8">
        <w:rPr>
          <w:sz w:val="20"/>
          <w:szCs w:val="20"/>
          <w:lang w:val="en-US"/>
        </w:rPr>
        <w:t xml:space="preserve"> 2018. “Of Heroes and Cowards: A Computer-Based Analysis of Narratives Justifying the Use of Force.” In </w:t>
      </w:r>
      <w:r w:rsidRPr="005662D8">
        <w:rPr>
          <w:rStyle w:val="Enfasicorsivo"/>
          <w:sz w:val="20"/>
          <w:szCs w:val="20"/>
          <w:lang w:val="en-US"/>
        </w:rPr>
        <w:t>Researching Emotions in International Relations</w:t>
      </w:r>
      <w:r w:rsidRPr="005662D8">
        <w:rPr>
          <w:sz w:val="20"/>
          <w:szCs w:val="20"/>
          <w:lang w:val="en-US"/>
        </w:rPr>
        <w:t>, 179–206. Cham, Germany: Palgrave Macmillan.</w:t>
      </w:r>
    </w:p>
    <w:p w14:paraId="62F4B951"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Saparov, Arsene.</w:t>
      </w:r>
      <w:r w:rsidRPr="005662D8">
        <w:rPr>
          <w:sz w:val="20"/>
          <w:szCs w:val="20"/>
          <w:lang w:val="en-US"/>
        </w:rPr>
        <w:t xml:space="preserve"> 2014. </w:t>
      </w:r>
      <w:r w:rsidRPr="005662D8">
        <w:rPr>
          <w:rStyle w:val="Enfasicorsivo"/>
          <w:sz w:val="20"/>
          <w:szCs w:val="20"/>
          <w:lang w:val="en-US"/>
        </w:rPr>
        <w:t>From Conflict to Autonomy in the Caucasus: The Soviet Union and the Making of Abkhazia, South Ossetia and Nagorno-Karabakh.</w:t>
      </w:r>
      <w:r w:rsidRPr="005662D8">
        <w:rPr>
          <w:sz w:val="20"/>
          <w:szCs w:val="20"/>
          <w:lang w:val="en-US"/>
        </w:rPr>
        <w:t xml:space="preserve"> London, United Kingdom: Routledge.</w:t>
      </w:r>
    </w:p>
    <w:p w14:paraId="58780F56" w14:textId="04BE9929"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Sauder, Michael, Freda Lynn, and Joel M. Podolny.</w:t>
      </w:r>
      <w:r w:rsidRPr="005662D8">
        <w:rPr>
          <w:sz w:val="20"/>
          <w:szCs w:val="20"/>
          <w:lang w:val="en-US"/>
        </w:rPr>
        <w:t xml:space="preserve"> 2012. “Status: Insights from Organizational Sociology.” </w:t>
      </w:r>
      <w:r w:rsidRPr="005662D8">
        <w:rPr>
          <w:rStyle w:val="Enfasicorsivo"/>
          <w:sz w:val="20"/>
          <w:szCs w:val="20"/>
          <w:lang w:val="en-US"/>
        </w:rPr>
        <w:t>Annual Review of Sociology</w:t>
      </w:r>
      <w:r w:rsidRPr="005662D8">
        <w:rPr>
          <w:sz w:val="20"/>
          <w:szCs w:val="20"/>
          <w:lang w:val="en-US"/>
        </w:rPr>
        <w:t xml:space="preserve"> 38 (1): 267–83. </w:t>
      </w:r>
      <w:hyperlink r:id="rId231" w:history="1">
        <w:r w:rsidR="00CC5EE6" w:rsidRPr="00F3725E">
          <w:rPr>
            <w:rStyle w:val="Collegamentoipertestuale"/>
            <w:sz w:val="20"/>
            <w:szCs w:val="20"/>
            <w:lang w:val="en-US"/>
          </w:rPr>
          <w:t>https://doi.org/10.1146/annurev-soc-071811-145503</w:t>
        </w:r>
      </w:hyperlink>
      <w:r w:rsidRPr="005662D8">
        <w:rPr>
          <w:sz w:val="20"/>
          <w:szCs w:val="20"/>
          <w:lang w:val="en-US"/>
        </w:rPr>
        <w:t>.</w:t>
      </w:r>
    </w:p>
    <w:p w14:paraId="0E61ED2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Saunders, M. N. K., Philip Lewis, and Adrian Thornhill.</w:t>
      </w:r>
      <w:r w:rsidRPr="005662D8">
        <w:rPr>
          <w:sz w:val="20"/>
          <w:szCs w:val="20"/>
          <w:lang w:val="en-US"/>
        </w:rPr>
        <w:t xml:space="preserve"> 2019. </w:t>
      </w:r>
      <w:r w:rsidRPr="005662D8">
        <w:rPr>
          <w:rStyle w:val="Enfasicorsivo"/>
          <w:sz w:val="20"/>
          <w:szCs w:val="20"/>
          <w:lang w:val="en-US"/>
        </w:rPr>
        <w:t>Research Methods for Business Students.</w:t>
      </w:r>
      <w:r w:rsidRPr="005662D8">
        <w:rPr>
          <w:sz w:val="20"/>
          <w:szCs w:val="20"/>
          <w:lang w:val="en-US"/>
        </w:rPr>
        <w:t xml:space="preserve"> Harlow, United Kingdom: Pearson.</w:t>
      </w:r>
    </w:p>
    <w:p w14:paraId="5DD3BCE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Schmid, Ulrich. 2014.</w:t>
      </w:r>
      <w:r w:rsidRPr="005662D8">
        <w:rPr>
          <w:sz w:val="20"/>
          <w:szCs w:val="20"/>
          <w:lang w:val="en-US"/>
        </w:rPr>
        <w:t xml:space="preserve"> </w:t>
      </w:r>
      <w:r w:rsidRPr="005662D8">
        <w:rPr>
          <w:rStyle w:val="Enfasicorsivo"/>
          <w:sz w:val="20"/>
          <w:szCs w:val="20"/>
          <w:lang w:val="en-US"/>
        </w:rPr>
        <w:t>Memory and Trauma in International Relations: Theories, Cases and Debates.</w:t>
      </w:r>
      <w:r w:rsidRPr="005662D8">
        <w:rPr>
          <w:sz w:val="20"/>
          <w:szCs w:val="20"/>
          <w:lang w:val="en-US"/>
        </w:rPr>
        <w:t xml:space="preserve"> Abingdon, Oxon, United Kingdom: Routledge.</w:t>
      </w:r>
    </w:p>
    <w:p w14:paraId="1F0375B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Schreier, Margrit.</w:t>
      </w:r>
      <w:r w:rsidRPr="005662D8">
        <w:rPr>
          <w:sz w:val="20"/>
          <w:szCs w:val="20"/>
          <w:lang w:val="en-US"/>
        </w:rPr>
        <w:t xml:space="preserve"> 2012. </w:t>
      </w:r>
      <w:r w:rsidRPr="005662D8">
        <w:rPr>
          <w:rStyle w:val="Enfasicorsivo"/>
          <w:sz w:val="20"/>
          <w:szCs w:val="20"/>
          <w:lang w:val="en-US"/>
        </w:rPr>
        <w:t>Qualitative Content Analysis in Practice.</w:t>
      </w:r>
      <w:r w:rsidRPr="005662D8">
        <w:rPr>
          <w:sz w:val="20"/>
          <w:szCs w:val="20"/>
          <w:lang w:val="en-US"/>
        </w:rPr>
        <w:t xml:space="preserve"> Los Angeles, United States: SAGE.</w:t>
      </w:r>
    </w:p>
    <w:p w14:paraId="62C7A7FF" w14:textId="77777777" w:rsidR="00E9035E" w:rsidRPr="00CA7E2D" w:rsidRDefault="00E9035E" w:rsidP="005662D8">
      <w:pPr>
        <w:pStyle w:val="NormaleWeb"/>
        <w:spacing w:line="240" w:lineRule="auto"/>
        <w:rPr>
          <w:sz w:val="20"/>
          <w:szCs w:val="20"/>
        </w:rPr>
      </w:pPr>
      <w:r w:rsidRPr="005662D8">
        <w:rPr>
          <w:rStyle w:val="Enfasigrassetto"/>
          <w:b w:val="0"/>
          <w:sz w:val="20"/>
          <w:szCs w:val="20"/>
          <w:lang w:val="en-US"/>
        </w:rPr>
        <w:t>Service, RFE/RL’s Armenian.</w:t>
      </w:r>
      <w:r w:rsidRPr="005662D8">
        <w:rPr>
          <w:sz w:val="20"/>
          <w:szCs w:val="20"/>
          <w:lang w:val="en-US"/>
        </w:rPr>
        <w:t xml:space="preserve"> 2024. “Armenia Officially Asks Moscow to Remove Russian Border Troops from Yerevan Airport.” </w:t>
      </w:r>
      <w:r w:rsidRPr="005662D8">
        <w:rPr>
          <w:rStyle w:val="Enfasicorsivo"/>
          <w:sz w:val="20"/>
          <w:szCs w:val="20"/>
          <w:lang w:val="en-US"/>
        </w:rPr>
        <w:t>RFE/RL.</w:t>
      </w:r>
      <w:r w:rsidRPr="005662D8">
        <w:rPr>
          <w:sz w:val="20"/>
          <w:szCs w:val="20"/>
          <w:lang w:val="en-US"/>
        </w:rPr>
        <w:t xml:space="preserve"> March 6. </w:t>
      </w:r>
      <w:hyperlink r:id="rId232" w:tgtFrame="_new" w:history="1">
        <w:r w:rsidRPr="00CA7E2D">
          <w:rPr>
            <w:rStyle w:val="Collegamentoipertestuale"/>
            <w:sz w:val="20"/>
            <w:szCs w:val="20"/>
          </w:rPr>
          <w:t>https://www.rferl.org/a/armenia-russian-border-guards-remove-yerevan-airport/32850687.html</w:t>
        </w:r>
      </w:hyperlink>
      <w:r w:rsidRPr="00CA7E2D">
        <w:rPr>
          <w:sz w:val="20"/>
          <w:szCs w:val="20"/>
        </w:rPr>
        <w:t>.</w:t>
      </w:r>
    </w:p>
    <w:p w14:paraId="2084DC85"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Shahverdyan, Lilith.</w:t>
      </w:r>
      <w:r w:rsidRPr="005662D8">
        <w:rPr>
          <w:sz w:val="20"/>
          <w:szCs w:val="20"/>
          <w:lang w:val="en-US"/>
        </w:rPr>
        <w:t xml:space="preserve"> 2023. “Russia to Revamp Armenia’s Nuclear Power Plant.” </w:t>
      </w:r>
      <w:r w:rsidRPr="003B27B4">
        <w:rPr>
          <w:rStyle w:val="Enfasicorsivo"/>
          <w:sz w:val="20"/>
          <w:szCs w:val="20"/>
        </w:rPr>
        <w:t>Eurasianet.</w:t>
      </w:r>
      <w:r w:rsidRPr="003B27B4">
        <w:rPr>
          <w:sz w:val="20"/>
          <w:szCs w:val="20"/>
        </w:rPr>
        <w:t xml:space="preserve"> </w:t>
      </w:r>
      <w:hyperlink r:id="rId233" w:tgtFrame="_new" w:history="1">
        <w:r w:rsidRPr="005662D8">
          <w:rPr>
            <w:rStyle w:val="Collegamentoipertestuale"/>
            <w:sz w:val="20"/>
            <w:szCs w:val="20"/>
          </w:rPr>
          <w:t>https://eurasianet.org/russia-to-revamp-armenias-nuclear-power-plant</w:t>
        </w:r>
      </w:hyperlink>
      <w:r w:rsidRPr="005662D8">
        <w:rPr>
          <w:sz w:val="20"/>
          <w:szCs w:val="20"/>
        </w:rPr>
        <w:t>.</w:t>
      </w:r>
    </w:p>
    <w:p w14:paraId="240CAFF6" w14:textId="77777777" w:rsidR="00E9035E" w:rsidRPr="00A2019B" w:rsidRDefault="00E9035E" w:rsidP="005662D8">
      <w:pPr>
        <w:pStyle w:val="NormaleWeb"/>
        <w:spacing w:line="240" w:lineRule="auto"/>
        <w:rPr>
          <w:sz w:val="20"/>
          <w:szCs w:val="20"/>
        </w:rPr>
      </w:pPr>
      <w:r w:rsidRPr="005662D8">
        <w:rPr>
          <w:rStyle w:val="Enfasigrassetto"/>
          <w:b w:val="0"/>
          <w:sz w:val="20"/>
          <w:szCs w:val="20"/>
        </w:rPr>
        <w:t>Shakleina, Tatiana.</w:t>
      </w:r>
      <w:r w:rsidRPr="005662D8">
        <w:rPr>
          <w:sz w:val="20"/>
          <w:szCs w:val="20"/>
        </w:rPr>
        <w:t xml:space="preserve"> 1993. “Osnovnye Polozhenija Vneshnepoliticheskoj Koncepcii Rossijskoj Federacii.” In </w:t>
      </w:r>
      <w:r w:rsidRPr="005662D8">
        <w:rPr>
          <w:rStyle w:val="Enfasicorsivo"/>
          <w:sz w:val="20"/>
          <w:szCs w:val="20"/>
        </w:rPr>
        <w:t xml:space="preserve">Vneshnjaja Politika i Bezopasnost’ Sovremennoj Rossii. </w:t>
      </w:r>
      <w:r w:rsidRPr="00A2019B">
        <w:rPr>
          <w:rStyle w:val="Enfasicorsivo"/>
          <w:sz w:val="20"/>
          <w:szCs w:val="20"/>
        </w:rPr>
        <w:t>1991–2002,</w:t>
      </w:r>
      <w:r w:rsidRPr="00A2019B">
        <w:rPr>
          <w:sz w:val="20"/>
          <w:szCs w:val="20"/>
        </w:rPr>
        <w:t xml:space="preserve"> no. IV. </w:t>
      </w:r>
      <w:hyperlink r:id="rId234" w:tgtFrame="_new" w:history="1">
        <w:r w:rsidRPr="00A2019B">
          <w:rPr>
            <w:rStyle w:val="Collegamentoipertestuale"/>
            <w:sz w:val="20"/>
            <w:szCs w:val="20"/>
          </w:rPr>
          <w:t>https://rusneb.ru/catalog/010003_000061_bdb946e731c03b565219018c4bf2f164/</w:t>
        </w:r>
      </w:hyperlink>
      <w:r w:rsidRPr="00A2019B">
        <w:rPr>
          <w:sz w:val="20"/>
          <w:szCs w:val="20"/>
        </w:rPr>
        <w:t>.</w:t>
      </w:r>
    </w:p>
    <w:p w14:paraId="15C73B73"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Shervinskii, Sergei.</w:t>
      </w:r>
      <w:r w:rsidRPr="005662D8">
        <w:rPr>
          <w:sz w:val="20"/>
          <w:szCs w:val="20"/>
          <w:lang w:val="en-US"/>
        </w:rPr>
        <w:t xml:space="preserve"> 1977. </w:t>
      </w:r>
      <w:r w:rsidRPr="005662D8">
        <w:rPr>
          <w:rStyle w:val="Enfasicorsivo"/>
          <w:sz w:val="20"/>
          <w:szCs w:val="20"/>
          <w:lang w:val="en-US"/>
        </w:rPr>
        <w:t>Khachatur Abovyan, Rany Armenii.</w:t>
      </w:r>
      <w:r w:rsidRPr="005662D8">
        <w:rPr>
          <w:sz w:val="20"/>
          <w:szCs w:val="20"/>
          <w:lang w:val="en-US"/>
        </w:rPr>
        <w:t xml:space="preserve"> </w:t>
      </w:r>
      <w:r w:rsidRPr="005662D8">
        <w:rPr>
          <w:sz w:val="20"/>
          <w:szCs w:val="20"/>
        </w:rPr>
        <w:t>Yerevan, Armenia: Sovetakan grokh.</w:t>
      </w:r>
    </w:p>
    <w:p w14:paraId="17405E6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rPr>
        <w:t>Sieniawski, Piotr.</w:t>
      </w:r>
      <w:r w:rsidRPr="005662D8">
        <w:rPr>
          <w:sz w:val="20"/>
          <w:szCs w:val="20"/>
        </w:rPr>
        <w:t xml:space="preserve"> </w:t>
      </w:r>
      <w:r w:rsidRPr="005662D8">
        <w:rPr>
          <w:sz w:val="20"/>
          <w:szCs w:val="20"/>
          <w:lang w:val="en-US"/>
        </w:rPr>
        <w:t xml:space="preserve">2024. “Abkhazia and South Ossetia in the Foreign and Security Policy of the Russian Federation.” </w:t>
      </w:r>
      <w:r w:rsidRPr="005662D8">
        <w:rPr>
          <w:rStyle w:val="Enfasicorsivo"/>
          <w:sz w:val="20"/>
          <w:szCs w:val="20"/>
          <w:lang w:val="en-US"/>
        </w:rPr>
        <w:t>Southeast European and Black Sea Studies</w:t>
      </w:r>
      <w:r w:rsidRPr="005662D8">
        <w:rPr>
          <w:sz w:val="20"/>
          <w:szCs w:val="20"/>
          <w:lang w:val="en-US"/>
        </w:rPr>
        <w:t xml:space="preserve"> 24 (3): 515–36. https://doi.org/10.1080/14683857.2024.2387476.</w:t>
      </w:r>
    </w:p>
    <w:p w14:paraId="1B72750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Smith, Hanna.</w:t>
      </w:r>
      <w:r w:rsidRPr="005662D8">
        <w:rPr>
          <w:sz w:val="20"/>
          <w:szCs w:val="20"/>
          <w:lang w:val="en-US"/>
        </w:rPr>
        <w:t xml:space="preserve"> 2014. “Russia as a Great Power: Status Inconsistency and the Two Chechen Wars.” </w:t>
      </w:r>
      <w:r w:rsidRPr="005662D8">
        <w:rPr>
          <w:rStyle w:val="Enfasicorsivo"/>
          <w:sz w:val="20"/>
          <w:szCs w:val="20"/>
          <w:lang w:val="en-US"/>
        </w:rPr>
        <w:t>Communist and Post-Communist Studies</w:t>
      </w:r>
      <w:r w:rsidRPr="005662D8">
        <w:rPr>
          <w:sz w:val="20"/>
          <w:szCs w:val="20"/>
          <w:lang w:val="en-US"/>
        </w:rPr>
        <w:t xml:space="preserve"> 47 (3–4): 355–63. </w:t>
      </w:r>
      <w:hyperlink r:id="rId235" w:history="1">
        <w:r w:rsidRPr="005662D8">
          <w:rPr>
            <w:rStyle w:val="Collegamentoipertestuale"/>
            <w:sz w:val="20"/>
            <w:szCs w:val="20"/>
            <w:lang w:val="en-US"/>
          </w:rPr>
          <w:t>https://doi.org/10.1016/j.postcomstud.2014.09.005</w:t>
        </w:r>
      </w:hyperlink>
      <w:r w:rsidRPr="005662D8">
        <w:rPr>
          <w:sz w:val="20"/>
          <w:szCs w:val="20"/>
          <w:lang w:val="en-US"/>
        </w:rPr>
        <w:t>.</w:t>
      </w:r>
    </w:p>
    <w:p w14:paraId="11005EB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Smith, Hannah. 2012b.</w:t>
      </w:r>
      <w:r w:rsidRPr="005662D8">
        <w:rPr>
          <w:sz w:val="20"/>
          <w:szCs w:val="20"/>
          <w:lang w:val="en-US"/>
        </w:rPr>
        <w:t xml:space="preserve"> “Thematic Analysis.” In </w:t>
      </w:r>
      <w:r w:rsidRPr="005662D8">
        <w:rPr>
          <w:rStyle w:val="Enfasicorsivo"/>
          <w:sz w:val="20"/>
          <w:szCs w:val="20"/>
          <w:lang w:val="en-US"/>
        </w:rPr>
        <w:t>APA Handbook of Research Methods in Psychology</w:t>
      </w:r>
      <w:r w:rsidRPr="005662D8">
        <w:rPr>
          <w:sz w:val="20"/>
          <w:szCs w:val="20"/>
          <w:lang w:val="en-US"/>
        </w:rPr>
        <w:t>, 57–71. New York, United States: American Psychological Association.</w:t>
      </w:r>
    </w:p>
    <w:p w14:paraId="01C20412" w14:textId="3BF9F373"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Solomon, Ty.</w:t>
      </w:r>
      <w:r w:rsidRPr="005662D8">
        <w:rPr>
          <w:sz w:val="20"/>
          <w:szCs w:val="20"/>
          <w:lang w:val="en-US"/>
        </w:rPr>
        <w:t xml:space="preserve"> 2017. “Ontological Security, Circulations of Affect, and the Arab Spring.” </w:t>
      </w:r>
      <w:r w:rsidRPr="005662D8">
        <w:rPr>
          <w:rStyle w:val="Enfasicorsivo"/>
          <w:sz w:val="20"/>
          <w:szCs w:val="20"/>
          <w:lang w:val="en-US"/>
        </w:rPr>
        <w:t>Journal of International Relations and Development</w:t>
      </w:r>
      <w:r w:rsidRPr="005662D8">
        <w:rPr>
          <w:sz w:val="20"/>
          <w:szCs w:val="20"/>
          <w:lang w:val="en-US"/>
        </w:rPr>
        <w:t xml:space="preserve"> 21 (4): 934–58. </w:t>
      </w:r>
      <w:hyperlink r:id="rId236" w:history="1">
        <w:r w:rsidR="00CC5EE6" w:rsidRPr="00F3725E">
          <w:rPr>
            <w:rStyle w:val="Collegamentoipertestuale"/>
            <w:sz w:val="20"/>
            <w:szCs w:val="20"/>
            <w:lang w:val="en-US"/>
          </w:rPr>
          <w:t>https://doi.org/10.1057/s41268-017-0089-x</w:t>
        </w:r>
      </w:hyperlink>
      <w:r w:rsidRPr="005662D8">
        <w:rPr>
          <w:sz w:val="20"/>
          <w:szCs w:val="20"/>
          <w:lang w:val="en-US"/>
        </w:rPr>
        <w:t>.</w:t>
      </w:r>
    </w:p>
    <w:p w14:paraId="4B2578F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Somakian, Manoug Joseph.</w:t>
      </w:r>
      <w:r w:rsidRPr="005662D8">
        <w:rPr>
          <w:sz w:val="20"/>
          <w:szCs w:val="20"/>
          <w:lang w:val="en-US"/>
        </w:rPr>
        <w:t xml:space="preserve"> 1993. “Tsarist and Bolshevik Policy towards the Armenian Question, 1912–1920.” PhD thesis, London: UCL (University College London).</w:t>
      </w:r>
    </w:p>
    <w:p w14:paraId="779F8CE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Spencer, John, and Harshana Ghoorhoo.</w:t>
      </w:r>
      <w:r w:rsidRPr="005662D8">
        <w:rPr>
          <w:sz w:val="20"/>
          <w:szCs w:val="20"/>
          <w:lang w:val="en-US"/>
        </w:rPr>
        <w:t xml:space="preserve"> 2021. “The Battle of Shusha City and the Missed Lessons of the 2020 Nagorno-Karabakh War.” </w:t>
      </w:r>
      <w:r w:rsidRPr="005662D8">
        <w:rPr>
          <w:rStyle w:val="Enfasicorsivo"/>
          <w:sz w:val="20"/>
          <w:szCs w:val="20"/>
          <w:lang w:val="en-US"/>
        </w:rPr>
        <w:t>Modern War Institute.</w:t>
      </w:r>
      <w:r w:rsidRPr="005662D8">
        <w:rPr>
          <w:sz w:val="20"/>
          <w:szCs w:val="20"/>
          <w:lang w:val="en-US"/>
        </w:rPr>
        <w:t xml:space="preserve"> July 14. </w:t>
      </w:r>
      <w:hyperlink r:id="rId237" w:tgtFrame="_new" w:history="1">
        <w:r w:rsidRPr="005662D8">
          <w:rPr>
            <w:rStyle w:val="Collegamentoipertestuale"/>
            <w:sz w:val="20"/>
            <w:szCs w:val="20"/>
            <w:lang w:val="en-US"/>
          </w:rPr>
          <w:t>https://mwi.westpoint.edu/the-battle-of-shusha-city-and-the-missed-lessons-of-the-2020-nagorno-karabakh-war/</w:t>
        </w:r>
      </w:hyperlink>
      <w:r w:rsidRPr="005662D8">
        <w:rPr>
          <w:sz w:val="20"/>
          <w:szCs w:val="20"/>
          <w:lang w:val="en-US"/>
        </w:rPr>
        <w:t>.</w:t>
      </w:r>
    </w:p>
    <w:p w14:paraId="3EED519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Spencer, John, and Harshana Ghoorhoo. 2021.</w:t>
      </w:r>
      <w:r w:rsidRPr="005662D8">
        <w:rPr>
          <w:sz w:val="20"/>
          <w:szCs w:val="20"/>
          <w:lang w:val="en-US"/>
        </w:rPr>
        <w:t xml:space="preserve"> “The Battle of Shusha City and the Missed Lessons of the 2020 Nagorno-Karabakh War.” </w:t>
      </w:r>
      <w:r w:rsidRPr="005662D8">
        <w:rPr>
          <w:rStyle w:val="Enfasicorsivo"/>
          <w:sz w:val="20"/>
          <w:szCs w:val="20"/>
          <w:lang w:val="en-US"/>
        </w:rPr>
        <w:t>Modern War Institute.</w:t>
      </w:r>
      <w:r w:rsidRPr="005662D8">
        <w:rPr>
          <w:sz w:val="20"/>
          <w:szCs w:val="20"/>
          <w:lang w:val="en-US"/>
        </w:rPr>
        <w:t xml:space="preserve"> July 14. </w:t>
      </w:r>
      <w:hyperlink r:id="rId238" w:tgtFrame="_new" w:history="1">
        <w:r w:rsidRPr="005662D8">
          <w:rPr>
            <w:rStyle w:val="Collegamentoipertestuale"/>
            <w:sz w:val="20"/>
            <w:szCs w:val="20"/>
            <w:lang w:val="en-US"/>
          </w:rPr>
          <w:t>https://mwi.westpoint.edu/the-battle-of-shusha-city-and-the-missed-lessons-of-the-2020-nagorno-karabakh-war/</w:t>
        </w:r>
      </w:hyperlink>
      <w:r w:rsidRPr="005662D8">
        <w:rPr>
          <w:sz w:val="20"/>
          <w:szCs w:val="20"/>
          <w:lang w:val="en-US"/>
        </w:rPr>
        <w:t>.</w:t>
      </w:r>
    </w:p>
    <w:p w14:paraId="315FAF0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Spierenburg, Petrus Cornelis.</w:t>
      </w:r>
      <w:r w:rsidRPr="005662D8">
        <w:rPr>
          <w:sz w:val="20"/>
          <w:szCs w:val="20"/>
          <w:lang w:val="en-US"/>
        </w:rPr>
        <w:t xml:space="preserve"> 1998. </w:t>
      </w:r>
      <w:r w:rsidRPr="005662D8">
        <w:rPr>
          <w:rStyle w:val="Enfasicorsivo"/>
          <w:sz w:val="20"/>
          <w:szCs w:val="20"/>
          <w:lang w:val="en-US"/>
        </w:rPr>
        <w:t>Men and Violence: Gender, Honor, and Rituals in Modern Europe and America.</w:t>
      </w:r>
      <w:r w:rsidRPr="005662D8">
        <w:rPr>
          <w:sz w:val="20"/>
          <w:szCs w:val="20"/>
          <w:lang w:val="en-US"/>
        </w:rPr>
        <w:t xml:space="preserve"> Columbus, United States: Ohio State University Press.</w:t>
      </w:r>
    </w:p>
    <w:p w14:paraId="3ECB4B1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Stake, Robert E.</w:t>
      </w:r>
      <w:r w:rsidRPr="005662D8">
        <w:rPr>
          <w:sz w:val="20"/>
          <w:szCs w:val="20"/>
          <w:lang w:val="en-US"/>
        </w:rPr>
        <w:t xml:space="preserve"> 1995. </w:t>
      </w:r>
      <w:r w:rsidRPr="005662D8">
        <w:rPr>
          <w:rStyle w:val="Enfasicorsivo"/>
          <w:sz w:val="20"/>
          <w:szCs w:val="20"/>
          <w:lang w:val="en-US"/>
        </w:rPr>
        <w:t>The Art of Case Study Research.</w:t>
      </w:r>
      <w:r w:rsidRPr="005662D8">
        <w:rPr>
          <w:sz w:val="20"/>
          <w:szCs w:val="20"/>
          <w:lang w:val="en-US"/>
        </w:rPr>
        <w:t xml:space="preserve"> Thousand Oaks, United States: Sage.</w:t>
      </w:r>
    </w:p>
    <w:p w14:paraId="4C68F8C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Stearns, Peter. 2022.</w:t>
      </w:r>
      <w:r w:rsidRPr="005662D8">
        <w:rPr>
          <w:sz w:val="20"/>
          <w:szCs w:val="20"/>
          <w:lang w:val="en-US"/>
        </w:rPr>
        <w:t xml:space="preserve"> “Honor, Shame, and Guilt.” In </w:t>
      </w:r>
      <w:r w:rsidRPr="005662D8">
        <w:rPr>
          <w:rStyle w:val="Enfasicorsivo"/>
          <w:sz w:val="20"/>
          <w:szCs w:val="20"/>
          <w:lang w:val="en-US"/>
        </w:rPr>
        <w:t>The Routledge History of Emotions in the Modern World</w:t>
      </w:r>
      <w:r w:rsidRPr="005662D8">
        <w:rPr>
          <w:sz w:val="20"/>
          <w:szCs w:val="20"/>
          <w:lang w:val="en-US"/>
        </w:rPr>
        <w:t>, 104–21. Abingdon, Oxon, United Kingdom: Routledge.</w:t>
      </w:r>
    </w:p>
    <w:p w14:paraId="721D120E" w14:textId="77777777" w:rsidR="00E9035E" w:rsidRPr="005662D8" w:rsidRDefault="00E9035E" w:rsidP="005662D8">
      <w:pPr>
        <w:pStyle w:val="NormaleWeb"/>
        <w:spacing w:line="240" w:lineRule="auto"/>
        <w:rPr>
          <w:sz w:val="20"/>
          <w:szCs w:val="20"/>
        </w:rPr>
      </w:pPr>
      <w:r w:rsidRPr="005662D8">
        <w:rPr>
          <w:rStyle w:val="Enfasigrassetto"/>
          <w:b w:val="0"/>
          <w:sz w:val="20"/>
          <w:szCs w:val="20"/>
          <w:lang w:val="en-US"/>
        </w:rPr>
        <w:t>Steele, Brent J.</w:t>
      </w:r>
      <w:r w:rsidRPr="005662D8">
        <w:rPr>
          <w:sz w:val="20"/>
          <w:szCs w:val="20"/>
          <w:lang w:val="en-US"/>
        </w:rPr>
        <w:t xml:space="preserve"> 2008. </w:t>
      </w:r>
      <w:r w:rsidRPr="005662D8">
        <w:rPr>
          <w:rStyle w:val="Enfasicorsivo"/>
          <w:sz w:val="20"/>
          <w:szCs w:val="20"/>
          <w:lang w:val="en-US"/>
        </w:rPr>
        <w:t>Ontological Security in International Relations: Self Identity and the IR State.</w:t>
      </w:r>
      <w:r w:rsidRPr="005662D8">
        <w:rPr>
          <w:sz w:val="20"/>
          <w:szCs w:val="20"/>
          <w:lang w:val="en-US"/>
        </w:rPr>
        <w:t xml:space="preserve"> </w:t>
      </w:r>
      <w:r w:rsidRPr="005662D8">
        <w:rPr>
          <w:sz w:val="20"/>
          <w:szCs w:val="20"/>
        </w:rPr>
        <w:t>London, United Kingdom: Routledge.</w:t>
      </w:r>
    </w:p>
    <w:p w14:paraId="604A9786" w14:textId="77777777" w:rsidR="00E9035E" w:rsidRPr="005662D8" w:rsidRDefault="00E9035E" w:rsidP="005662D8">
      <w:pPr>
        <w:pStyle w:val="NormaleWeb"/>
        <w:spacing w:line="240" w:lineRule="auto"/>
        <w:rPr>
          <w:sz w:val="20"/>
          <w:szCs w:val="20"/>
        </w:rPr>
      </w:pPr>
      <w:r w:rsidRPr="005662D8">
        <w:rPr>
          <w:rStyle w:val="Enfasigrassetto"/>
          <w:b w:val="0"/>
          <w:sz w:val="20"/>
          <w:szCs w:val="20"/>
        </w:rPr>
        <w:t>Steinmann, Luca.</w:t>
      </w:r>
      <w:r w:rsidRPr="005662D8">
        <w:rPr>
          <w:sz w:val="20"/>
          <w:szCs w:val="20"/>
        </w:rPr>
        <w:t xml:space="preserve"> 2023. “Il Premier Armeno Pashinyan: ‘La Nostra Dipendenza dalla Russia per la Sicurezza è Stata un Errore Strategico. In Nagorno-Karabakh è in Corso una Pulizia Etnica.’” </w:t>
      </w:r>
      <w:r w:rsidRPr="005662D8">
        <w:rPr>
          <w:rStyle w:val="Enfasicorsivo"/>
          <w:sz w:val="20"/>
          <w:szCs w:val="20"/>
        </w:rPr>
        <w:t>La Repubblica.</w:t>
      </w:r>
      <w:r w:rsidRPr="005662D8">
        <w:rPr>
          <w:sz w:val="20"/>
          <w:szCs w:val="20"/>
        </w:rPr>
        <w:t xml:space="preserve"> September 2. </w:t>
      </w:r>
      <w:hyperlink r:id="rId239" w:tgtFrame="_new" w:history="1">
        <w:r w:rsidRPr="005662D8">
          <w:rPr>
            <w:rStyle w:val="Collegamentoipertestuale"/>
            <w:sz w:val="20"/>
            <w:szCs w:val="20"/>
          </w:rPr>
          <w:t>https://www.repubblica.it/esteri/2023/09/03/news/armenia_pashinyan_russia_sicurezza_nagorno_karabakh-413072928/</w:t>
        </w:r>
      </w:hyperlink>
      <w:r w:rsidRPr="005662D8">
        <w:rPr>
          <w:sz w:val="20"/>
          <w:szCs w:val="20"/>
        </w:rPr>
        <w:t>.</w:t>
      </w:r>
    </w:p>
    <w:p w14:paraId="28A3D40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Stewart, Frank Henderson. 2010.</w:t>
      </w:r>
      <w:r w:rsidRPr="005662D8">
        <w:rPr>
          <w:sz w:val="20"/>
          <w:szCs w:val="20"/>
          <w:lang w:val="en-US"/>
        </w:rPr>
        <w:t xml:space="preserve"> </w:t>
      </w:r>
      <w:r w:rsidRPr="005662D8">
        <w:rPr>
          <w:rStyle w:val="Enfasicorsivo"/>
          <w:sz w:val="20"/>
          <w:szCs w:val="20"/>
          <w:lang w:val="en-US"/>
        </w:rPr>
        <w:t>Honor.</w:t>
      </w:r>
      <w:r w:rsidRPr="005662D8">
        <w:rPr>
          <w:sz w:val="20"/>
          <w:szCs w:val="20"/>
          <w:lang w:val="en-US"/>
        </w:rPr>
        <w:t xml:space="preserve"> Chicago, United States: University of Chicago Press.</w:t>
      </w:r>
    </w:p>
    <w:p w14:paraId="300932E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Strauss, Anselm, and Juliet Corbin. 1998.</w:t>
      </w:r>
      <w:r w:rsidRPr="005662D8">
        <w:rPr>
          <w:sz w:val="20"/>
          <w:szCs w:val="20"/>
          <w:lang w:val="en-US"/>
        </w:rPr>
        <w:t xml:space="preserve"> </w:t>
      </w:r>
      <w:r w:rsidRPr="005662D8">
        <w:rPr>
          <w:rStyle w:val="Enfasicorsivo"/>
          <w:sz w:val="20"/>
          <w:szCs w:val="20"/>
          <w:lang w:val="en-US"/>
        </w:rPr>
        <w:t>Basics of Qualitative Research: Grounded Theory Procedures and Techniques.</w:t>
      </w:r>
      <w:r w:rsidRPr="005662D8">
        <w:rPr>
          <w:sz w:val="20"/>
          <w:szCs w:val="20"/>
          <w:lang w:val="en-US"/>
        </w:rPr>
        <w:t xml:space="preserve"> Thousand Oaks, United Kingdom: Sage.</w:t>
      </w:r>
    </w:p>
    <w:p w14:paraId="6BF1DFFD"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Stronski, Paul. 2020. “Behind the Flare-up Along Armenia-Azerbaijan Border.” </w:t>
      </w:r>
      <w:r w:rsidRPr="005662D8">
        <w:rPr>
          <w:rStyle w:val="Enfasicorsivo"/>
          <w:sz w:val="20"/>
          <w:szCs w:val="20"/>
          <w:lang w:val="en-US"/>
        </w:rPr>
        <w:t>Carnegie Endowment for International Peace</w:t>
      </w:r>
      <w:r w:rsidRPr="005662D8">
        <w:rPr>
          <w:sz w:val="20"/>
          <w:szCs w:val="20"/>
          <w:lang w:val="en-US"/>
        </w:rPr>
        <w:t xml:space="preserve">. </w:t>
      </w:r>
      <w:hyperlink r:id="rId240" w:tgtFrame="_new" w:history="1">
        <w:r w:rsidRPr="005662D8">
          <w:rPr>
            <w:rStyle w:val="Collegamentoipertestuale"/>
            <w:sz w:val="20"/>
            <w:szCs w:val="20"/>
            <w:lang w:val="en-US"/>
          </w:rPr>
          <w:t>https://carnegieendowment.org/posts/2020/07/behind-the-flare-up-along-armenia-azerbaijan-border?lang=en</w:t>
        </w:r>
      </w:hyperlink>
    </w:p>
    <w:p w14:paraId="3F361EF1" w14:textId="680864FE"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Subotić, Jelena.</w:t>
      </w:r>
      <w:r w:rsidRPr="005662D8">
        <w:rPr>
          <w:sz w:val="20"/>
          <w:szCs w:val="20"/>
          <w:lang w:val="en-US"/>
        </w:rPr>
        <w:t xml:space="preserve"> 201</w:t>
      </w:r>
      <w:r w:rsidR="00B2423C">
        <w:rPr>
          <w:sz w:val="20"/>
          <w:szCs w:val="20"/>
          <w:lang w:val="en-US"/>
        </w:rPr>
        <w:t>6</w:t>
      </w:r>
      <w:r w:rsidRPr="005662D8">
        <w:rPr>
          <w:sz w:val="20"/>
          <w:szCs w:val="20"/>
          <w:lang w:val="en-US"/>
        </w:rPr>
        <w:t xml:space="preserve">. “Narrative, Ontological Security, and Foreign Policy Change.” </w:t>
      </w:r>
      <w:r w:rsidRPr="005662D8">
        <w:rPr>
          <w:rStyle w:val="Enfasicorsivo"/>
          <w:sz w:val="20"/>
          <w:szCs w:val="20"/>
          <w:lang w:val="en-US"/>
        </w:rPr>
        <w:t>Foreign Policy Analysis,</w:t>
      </w:r>
      <w:r w:rsidRPr="005662D8">
        <w:rPr>
          <w:sz w:val="20"/>
          <w:szCs w:val="20"/>
          <w:lang w:val="en-US"/>
        </w:rPr>
        <w:t xml:space="preserve"> 610–27. </w:t>
      </w:r>
      <w:hyperlink r:id="rId241" w:tgtFrame="_new" w:history="1">
        <w:r w:rsidRPr="005662D8">
          <w:rPr>
            <w:rStyle w:val="Collegamentoipertestuale"/>
            <w:sz w:val="20"/>
            <w:szCs w:val="20"/>
            <w:lang w:val="en-US"/>
          </w:rPr>
          <w:t>https://doi.org/10.1111/fpa.12089</w:t>
        </w:r>
      </w:hyperlink>
      <w:r w:rsidRPr="005662D8">
        <w:rPr>
          <w:sz w:val="20"/>
          <w:szCs w:val="20"/>
          <w:lang w:val="en-US"/>
        </w:rPr>
        <w:t>.</w:t>
      </w:r>
    </w:p>
    <w:p w14:paraId="1A4DC80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Subotic, Jelena. 2018.</w:t>
      </w:r>
      <w:r w:rsidRPr="005662D8">
        <w:rPr>
          <w:sz w:val="20"/>
          <w:szCs w:val="20"/>
          <w:lang w:val="en-US"/>
        </w:rPr>
        <w:t xml:space="preserve"> “Political Memory, Ontological Security, and Holocaust Remembrance in Post-Communist Europe.” </w:t>
      </w:r>
      <w:r w:rsidRPr="005662D8">
        <w:rPr>
          <w:rStyle w:val="Enfasicorsivo"/>
          <w:sz w:val="20"/>
          <w:szCs w:val="20"/>
          <w:lang w:val="en-US"/>
        </w:rPr>
        <w:t>European Security</w:t>
      </w:r>
      <w:r w:rsidRPr="005662D8">
        <w:rPr>
          <w:sz w:val="20"/>
          <w:szCs w:val="20"/>
          <w:lang w:val="en-US"/>
        </w:rPr>
        <w:t xml:space="preserve"> 27 (3): 296–313. doi:10.1080/09662839.2018.1497980.</w:t>
      </w:r>
    </w:p>
    <w:p w14:paraId="34FFDBD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Suddaby, Roy.</w:t>
      </w:r>
      <w:r w:rsidRPr="005662D8">
        <w:rPr>
          <w:sz w:val="20"/>
          <w:szCs w:val="20"/>
          <w:lang w:val="en-US"/>
        </w:rPr>
        <w:t xml:space="preserve"> 2006. “From the Editors: What Grounded Theory Is Not.” </w:t>
      </w:r>
      <w:r w:rsidRPr="005662D8">
        <w:rPr>
          <w:rStyle w:val="Enfasicorsivo"/>
          <w:sz w:val="20"/>
          <w:szCs w:val="20"/>
          <w:lang w:val="en-US"/>
        </w:rPr>
        <w:t>Academy of Management Journal</w:t>
      </w:r>
      <w:r w:rsidRPr="005662D8">
        <w:rPr>
          <w:sz w:val="20"/>
          <w:szCs w:val="20"/>
          <w:lang w:val="en-US"/>
        </w:rPr>
        <w:t xml:space="preserve"> 49 (4): 633–42. </w:t>
      </w:r>
      <w:hyperlink r:id="rId242" w:tgtFrame="_new" w:history="1">
        <w:r w:rsidRPr="005662D8">
          <w:rPr>
            <w:rStyle w:val="Collegamentoipertestuale"/>
            <w:sz w:val="20"/>
            <w:szCs w:val="20"/>
            <w:lang w:val="en-US"/>
          </w:rPr>
          <w:t>https://doi.org/10.5465/amj.2006.22083020</w:t>
        </w:r>
      </w:hyperlink>
      <w:r w:rsidRPr="005662D8">
        <w:rPr>
          <w:sz w:val="20"/>
          <w:szCs w:val="20"/>
          <w:lang w:val="en-US"/>
        </w:rPr>
        <w:t>.</w:t>
      </w:r>
    </w:p>
    <w:p w14:paraId="56A2518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Sukiasyan, Narek.</w:t>
      </w:r>
      <w:r w:rsidRPr="005662D8">
        <w:rPr>
          <w:sz w:val="20"/>
          <w:szCs w:val="20"/>
          <w:lang w:val="en-US"/>
        </w:rPr>
        <w:t xml:space="preserve"> 2021. “Appeasement and Autonomy: Armenian–Russian Relations from Revolution to War.” </w:t>
      </w:r>
      <w:r w:rsidRPr="005662D8">
        <w:rPr>
          <w:rStyle w:val="Enfasicorsivo"/>
          <w:sz w:val="20"/>
          <w:szCs w:val="20"/>
          <w:lang w:val="en-US"/>
        </w:rPr>
        <w:t>ISS Geopolitical Series</w:t>
      </w:r>
      <w:r w:rsidRPr="005662D8">
        <w:rPr>
          <w:sz w:val="20"/>
          <w:szCs w:val="20"/>
          <w:lang w:val="en-US"/>
        </w:rPr>
        <w:t xml:space="preserve"> 2: 1–8.</w:t>
      </w:r>
    </w:p>
    <w:p w14:paraId="2C1F64C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Suny, Ronald Grigor, Norman M. Naimark, and Fatma Müge Göçek.</w:t>
      </w:r>
      <w:r w:rsidRPr="005662D8">
        <w:rPr>
          <w:sz w:val="20"/>
          <w:szCs w:val="20"/>
          <w:lang w:val="en-US"/>
        </w:rPr>
        <w:t xml:space="preserve"> 2015. </w:t>
      </w:r>
      <w:r w:rsidRPr="005662D8">
        <w:rPr>
          <w:rStyle w:val="Enfasicorsivo"/>
          <w:sz w:val="20"/>
          <w:szCs w:val="20"/>
          <w:lang w:val="en-US"/>
        </w:rPr>
        <w:t>A Question of Genocide: Armenians and Turks at the End of the Ottoman Empire.</w:t>
      </w:r>
      <w:r w:rsidRPr="005662D8">
        <w:rPr>
          <w:sz w:val="20"/>
          <w:szCs w:val="20"/>
          <w:lang w:val="en-US"/>
        </w:rPr>
        <w:t xml:space="preserve"> New York, United States: Oxford University Press.</w:t>
      </w:r>
    </w:p>
    <w:p w14:paraId="4B69852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Suny, Ronald Grigor.</w:t>
      </w:r>
      <w:r w:rsidRPr="005662D8">
        <w:rPr>
          <w:sz w:val="20"/>
          <w:szCs w:val="20"/>
          <w:lang w:val="en-US"/>
        </w:rPr>
        <w:t xml:space="preserve"> 2009. “Truth in Telling: Reconciling Realities in the Genocide of the Ottoman Armenians.” </w:t>
      </w:r>
      <w:r w:rsidRPr="005662D8">
        <w:rPr>
          <w:rStyle w:val="Enfasicorsivo"/>
          <w:sz w:val="20"/>
          <w:szCs w:val="20"/>
          <w:lang w:val="en-US"/>
        </w:rPr>
        <w:t>The American Historical Review</w:t>
      </w:r>
      <w:r w:rsidRPr="005662D8">
        <w:rPr>
          <w:sz w:val="20"/>
          <w:szCs w:val="20"/>
          <w:lang w:val="en-US"/>
        </w:rPr>
        <w:t xml:space="preserve"> 114 (4): 930–46. </w:t>
      </w:r>
      <w:hyperlink r:id="rId243" w:history="1">
        <w:r w:rsidRPr="005662D8">
          <w:rPr>
            <w:rStyle w:val="Collegamentoipertestuale"/>
            <w:sz w:val="20"/>
            <w:szCs w:val="20"/>
            <w:lang w:val="en-US"/>
          </w:rPr>
          <w:t>https://doi.org/10.1086/ahr.114.4.930</w:t>
        </w:r>
      </w:hyperlink>
      <w:r w:rsidRPr="005662D8">
        <w:rPr>
          <w:sz w:val="20"/>
          <w:szCs w:val="20"/>
          <w:lang w:val="en-US"/>
        </w:rPr>
        <w:t>.</w:t>
      </w:r>
    </w:p>
    <w:p w14:paraId="2A26DE4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Suny, Ronald. 2019a.</w:t>
      </w:r>
      <w:r w:rsidRPr="005662D8">
        <w:rPr>
          <w:sz w:val="20"/>
          <w:szCs w:val="20"/>
          <w:lang w:val="en-US"/>
        </w:rPr>
        <w:t xml:space="preserve"> </w:t>
      </w:r>
      <w:r w:rsidRPr="005662D8">
        <w:rPr>
          <w:rStyle w:val="Enfasicorsivo"/>
          <w:sz w:val="20"/>
          <w:szCs w:val="20"/>
          <w:lang w:val="en-US"/>
        </w:rPr>
        <w:t>The Baku Commune, 1917–1918: Class and Nationality in the Russian Revolution.</w:t>
      </w:r>
      <w:r w:rsidRPr="005662D8">
        <w:rPr>
          <w:sz w:val="20"/>
          <w:szCs w:val="20"/>
          <w:lang w:val="en-US"/>
        </w:rPr>
        <w:t xml:space="preserve"> Princeton, United States: Princeton University Press.</w:t>
      </w:r>
    </w:p>
    <w:p w14:paraId="3028FAF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Suslov, M. D.</w:t>
      </w:r>
      <w:r w:rsidRPr="005662D8">
        <w:rPr>
          <w:sz w:val="20"/>
          <w:szCs w:val="20"/>
          <w:lang w:val="en-US"/>
        </w:rPr>
        <w:t xml:space="preserve"> 2014. “‘Holy Rus’: The Geopolitical Imagination in the Contemporary Russian Orthodox Church.” </w:t>
      </w:r>
      <w:r w:rsidRPr="005662D8">
        <w:rPr>
          <w:rStyle w:val="Enfasicorsivo"/>
          <w:sz w:val="20"/>
          <w:szCs w:val="20"/>
          <w:lang w:val="en-US"/>
        </w:rPr>
        <w:t>Russian Politics &amp; Law</w:t>
      </w:r>
      <w:r w:rsidRPr="005662D8">
        <w:rPr>
          <w:sz w:val="20"/>
          <w:szCs w:val="20"/>
          <w:lang w:val="en-US"/>
        </w:rPr>
        <w:t xml:space="preserve"> 52 (3): 67–86. </w:t>
      </w:r>
      <w:hyperlink r:id="rId244" w:history="1">
        <w:r w:rsidRPr="005662D8">
          <w:rPr>
            <w:rStyle w:val="Collegamentoipertestuale"/>
            <w:sz w:val="20"/>
            <w:szCs w:val="20"/>
            <w:lang w:val="en-US"/>
          </w:rPr>
          <w:t>https://doi.org/10.2753/RUP1061-1940520303</w:t>
        </w:r>
      </w:hyperlink>
      <w:r w:rsidRPr="005662D8">
        <w:rPr>
          <w:sz w:val="20"/>
          <w:szCs w:val="20"/>
          <w:lang w:val="en-US"/>
        </w:rPr>
        <w:t>.</w:t>
      </w:r>
    </w:p>
    <w:p w14:paraId="2F31AF8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Świtalski, Piotr. 2020.</w:t>
      </w:r>
      <w:r w:rsidRPr="005662D8">
        <w:rPr>
          <w:sz w:val="20"/>
          <w:szCs w:val="20"/>
          <w:lang w:val="en-US"/>
        </w:rPr>
        <w:t xml:space="preserve"> </w:t>
      </w:r>
      <w:r w:rsidRPr="005662D8">
        <w:rPr>
          <w:rStyle w:val="Enfasicorsivo"/>
          <w:sz w:val="20"/>
          <w:szCs w:val="20"/>
          <w:lang w:val="en-US"/>
        </w:rPr>
        <w:t>The Armenian Revolution: An Unfinished Cable.</w:t>
      </w:r>
      <w:r w:rsidRPr="005662D8">
        <w:rPr>
          <w:sz w:val="20"/>
          <w:szCs w:val="20"/>
          <w:lang w:val="en-US"/>
        </w:rPr>
        <w:t xml:space="preserve"> Warsaw, Poland: PISM.</w:t>
      </w:r>
    </w:p>
    <w:p w14:paraId="20278BF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Tarle, Evgenii. 2024.</w:t>
      </w:r>
      <w:r w:rsidRPr="005662D8">
        <w:rPr>
          <w:sz w:val="20"/>
          <w:szCs w:val="20"/>
          <w:lang w:val="en-US"/>
        </w:rPr>
        <w:t xml:space="preserve"> </w:t>
      </w:r>
      <w:r w:rsidRPr="005662D8">
        <w:rPr>
          <w:rStyle w:val="Enfasicorsivo"/>
          <w:sz w:val="20"/>
          <w:szCs w:val="20"/>
          <w:lang w:val="en-US"/>
        </w:rPr>
        <w:t>Krymskaia Voina. Tom 1.</w:t>
      </w:r>
      <w:r w:rsidRPr="005662D8">
        <w:rPr>
          <w:sz w:val="20"/>
          <w:szCs w:val="20"/>
          <w:lang w:val="en-US"/>
        </w:rPr>
        <w:t xml:space="preserve"> Moscow, Russian Federation: Eksmo.</w:t>
      </w:r>
    </w:p>
    <w:p w14:paraId="28302B0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Tchilingirian, Hratch.</w:t>
      </w:r>
      <w:r w:rsidRPr="005662D8">
        <w:rPr>
          <w:sz w:val="20"/>
          <w:szCs w:val="20"/>
          <w:lang w:val="en-US"/>
        </w:rPr>
        <w:t xml:space="preserve"> 2014. “The Armenian Apostolic Church: Post-Soviet Era.” In </w:t>
      </w:r>
      <w:r w:rsidRPr="005662D8">
        <w:rPr>
          <w:rStyle w:val="Enfasicorsivo"/>
          <w:sz w:val="20"/>
          <w:szCs w:val="20"/>
          <w:lang w:val="en-US"/>
        </w:rPr>
        <w:t>Eastern Christianity and Politics in the Twenty-First Century,</w:t>
      </w:r>
      <w:r w:rsidRPr="005662D8">
        <w:rPr>
          <w:sz w:val="20"/>
          <w:szCs w:val="20"/>
          <w:lang w:val="en-US"/>
        </w:rPr>
        <w:t xml:space="preserve"> 471–98. New York, United States: Routledge.</w:t>
      </w:r>
    </w:p>
    <w:p w14:paraId="5AEEEE1A" w14:textId="77777777" w:rsidR="00E9035E" w:rsidRPr="005662D8" w:rsidRDefault="00E9035E" w:rsidP="005662D8">
      <w:pPr>
        <w:pStyle w:val="NormaleWeb"/>
        <w:spacing w:line="240" w:lineRule="auto"/>
        <w:rPr>
          <w:bCs/>
          <w:sz w:val="20"/>
          <w:szCs w:val="20"/>
          <w:lang w:val="en-US"/>
        </w:rPr>
      </w:pPr>
      <w:r w:rsidRPr="005662D8">
        <w:rPr>
          <w:bCs/>
          <w:sz w:val="20"/>
          <w:szCs w:val="20"/>
          <w:lang w:val="en-US"/>
        </w:rPr>
        <w:t xml:space="preserve"> </w:t>
      </w:r>
      <w:r w:rsidRPr="005662D8">
        <w:rPr>
          <w:rStyle w:val="Enfasigrassetto"/>
          <w:b w:val="0"/>
          <w:sz w:val="20"/>
          <w:szCs w:val="20"/>
          <w:lang w:val="en-US"/>
        </w:rPr>
        <w:t>Ter-Matevosyan, Vahram, and Edita Ghazaryan.</w:t>
      </w:r>
      <w:r w:rsidRPr="005662D8">
        <w:rPr>
          <w:sz w:val="20"/>
          <w:szCs w:val="20"/>
          <w:lang w:val="en-US"/>
        </w:rPr>
        <w:t xml:space="preserve"> 2019. “Navigating between International Recognition Paradigms: Prospects and Challenges for Nagorno-Karabakh.” </w:t>
      </w:r>
      <w:r w:rsidRPr="005662D8">
        <w:rPr>
          <w:rStyle w:val="Enfasicorsivo"/>
          <w:sz w:val="20"/>
          <w:szCs w:val="20"/>
          <w:lang w:val="en-US"/>
        </w:rPr>
        <w:t>Caucasus Survey</w:t>
      </w:r>
      <w:r w:rsidRPr="005662D8">
        <w:rPr>
          <w:sz w:val="20"/>
          <w:szCs w:val="20"/>
          <w:lang w:val="en-US"/>
        </w:rPr>
        <w:t xml:space="preserve"> 7 (3): 181–96. </w:t>
      </w:r>
      <w:hyperlink r:id="rId245" w:history="1">
        <w:r w:rsidRPr="005662D8">
          <w:rPr>
            <w:rStyle w:val="Collegamentoipertestuale"/>
            <w:sz w:val="20"/>
            <w:szCs w:val="20"/>
            <w:lang w:val="en-US"/>
          </w:rPr>
          <w:t>https://doi.org/10.1080/23761199.2019.1666231</w:t>
        </w:r>
      </w:hyperlink>
      <w:r w:rsidRPr="005662D8">
        <w:rPr>
          <w:sz w:val="20"/>
          <w:szCs w:val="20"/>
          <w:lang w:val="en-US"/>
        </w:rPr>
        <w:t>.</w:t>
      </w:r>
    </w:p>
    <w:p w14:paraId="1B313763"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Ter-Matevosyan, Vahram, and Narek Mkrtchyan.</w:t>
      </w:r>
      <w:r w:rsidRPr="005662D8">
        <w:rPr>
          <w:sz w:val="20"/>
          <w:szCs w:val="20"/>
          <w:lang w:val="en-US"/>
        </w:rPr>
        <w:t xml:space="preserve"> 2021. “The Conduct of Armenian Foreign Policy: Limits of the Precarious Balance.” </w:t>
      </w:r>
      <w:r w:rsidRPr="005662D8">
        <w:rPr>
          <w:rStyle w:val="Enfasicorsivo"/>
          <w:sz w:val="20"/>
          <w:szCs w:val="20"/>
          <w:lang w:val="en-US"/>
        </w:rPr>
        <w:t>The World of Small States,</w:t>
      </w:r>
      <w:r w:rsidRPr="005662D8">
        <w:rPr>
          <w:sz w:val="20"/>
          <w:szCs w:val="20"/>
          <w:lang w:val="en-US"/>
        </w:rPr>
        <w:t xml:space="preserve"> 203–15. </w:t>
      </w:r>
      <w:hyperlink r:id="rId246" w:history="1">
        <w:r w:rsidRPr="005662D8">
          <w:rPr>
            <w:rStyle w:val="Collegamentoipertestuale"/>
            <w:sz w:val="20"/>
            <w:szCs w:val="20"/>
            <w:lang w:val="en-US"/>
          </w:rPr>
          <w:t>https://doi.org/10.1007/978-3-030-51529-4_14</w:t>
        </w:r>
      </w:hyperlink>
      <w:r w:rsidRPr="005662D8">
        <w:rPr>
          <w:sz w:val="20"/>
          <w:szCs w:val="20"/>
          <w:lang w:val="en-US"/>
        </w:rPr>
        <w:t>.</w:t>
      </w:r>
    </w:p>
    <w:p w14:paraId="4A267F92" w14:textId="77777777" w:rsidR="00E9035E" w:rsidRPr="005662D8" w:rsidRDefault="00E9035E" w:rsidP="005662D8">
      <w:pPr>
        <w:pStyle w:val="NormaleWeb"/>
        <w:spacing w:line="240" w:lineRule="auto"/>
        <w:rPr>
          <w:bCs/>
          <w:sz w:val="20"/>
          <w:szCs w:val="20"/>
          <w:lang w:val="en-US"/>
        </w:rPr>
      </w:pPr>
      <w:r w:rsidRPr="005662D8">
        <w:rPr>
          <w:bCs/>
          <w:sz w:val="20"/>
          <w:szCs w:val="20"/>
          <w:lang w:val="en-US"/>
        </w:rPr>
        <w:t xml:space="preserve">Ter-Matevosyan, Vahram, Anna Drnoian, Narek Mkrtchyan, and Tigran Yepremyan. 2017. “Armenia in the Eurasian Economic Union: Reasons for Joining and Its Consequences.” </w:t>
      </w:r>
      <w:r w:rsidRPr="005662D8">
        <w:rPr>
          <w:bCs/>
          <w:i/>
          <w:iCs/>
          <w:sz w:val="20"/>
          <w:szCs w:val="20"/>
          <w:lang w:val="en-US"/>
        </w:rPr>
        <w:t>Eurasian Geography and Economics</w:t>
      </w:r>
      <w:r w:rsidRPr="005662D8">
        <w:rPr>
          <w:bCs/>
          <w:sz w:val="20"/>
          <w:szCs w:val="20"/>
          <w:lang w:val="en-US"/>
        </w:rPr>
        <w:t xml:space="preserve"> 58 (3): 340–60. </w:t>
      </w:r>
      <w:hyperlink r:id="rId247" w:history="1">
        <w:r w:rsidRPr="005662D8">
          <w:rPr>
            <w:rStyle w:val="Collegamentoipertestuale"/>
            <w:bCs/>
            <w:sz w:val="20"/>
            <w:szCs w:val="20"/>
            <w:lang w:val="en-US"/>
          </w:rPr>
          <w:t>https://doi:10.1080/15387216.2017.1360193</w:t>
        </w:r>
      </w:hyperlink>
      <w:r w:rsidRPr="005662D8">
        <w:rPr>
          <w:bCs/>
          <w:sz w:val="20"/>
          <w:szCs w:val="20"/>
          <w:lang w:val="en-US"/>
        </w:rPr>
        <w:t>.</w:t>
      </w:r>
    </w:p>
    <w:p w14:paraId="034813B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Terzyan, Aram.</w:t>
      </w:r>
      <w:r w:rsidRPr="005662D8">
        <w:rPr>
          <w:sz w:val="20"/>
          <w:szCs w:val="20"/>
          <w:lang w:val="en-US"/>
        </w:rPr>
        <w:t xml:space="preserve"> 2018. “The Anatomy of Russia’s Grip on Armenia: Bound to Persist?” </w:t>
      </w:r>
      <w:r w:rsidRPr="005662D8">
        <w:rPr>
          <w:rStyle w:val="Enfasicorsivo"/>
          <w:sz w:val="20"/>
          <w:szCs w:val="20"/>
          <w:lang w:val="en-US"/>
        </w:rPr>
        <w:t>CES Working Papers,</w:t>
      </w:r>
      <w:r w:rsidRPr="005662D8">
        <w:rPr>
          <w:sz w:val="20"/>
          <w:szCs w:val="20"/>
          <w:lang w:val="en-US"/>
        </w:rPr>
        <w:t xml:space="preserve"> 234–50.</w:t>
      </w:r>
    </w:p>
    <w:p w14:paraId="7F28BCA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Terzyan, Aram. 2019.</w:t>
      </w:r>
      <w:r w:rsidRPr="005662D8">
        <w:rPr>
          <w:sz w:val="20"/>
          <w:szCs w:val="20"/>
          <w:lang w:val="en-US"/>
        </w:rPr>
        <w:t xml:space="preserve"> “Russian Foreign Policy, Russian Armenians and Armenia: Ethnic Minority or Political Leverage.” </w:t>
      </w:r>
      <w:r w:rsidRPr="005662D8">
        <w:rPr>
          <w:rStyle w:val="Enfasicorsivo"/>
          <w:sz w:val="20"/>
          <w:szCs w:val="20"/>
          <w:lang w:val="en-US"/>
        </w:rPr>
        <w:t>CES Working Papers</w:t>
      </w:r>
      <w:r w:rsidRPr="005662D8">
        <w:rPr>
          <w:sz w:val="20"/>
          <w:szCs w:val="20"/>
          <w:lang w:val="en-US"/>
        </w:rPr>
        <w:t>, 124–42.</w:t>
      </w:r>
    </w:p>
    <w:p w14:paraId="58D936F8"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Terzyan, Aram. 2023. “Fear or Identity? Explaining Armenia’s Stance Toward Russia in the Context of the War in Ukraine.” </w:t>
      </w:r>
      <w:r w:rsidRPr="005662D8">
        <w:rPr>
          <w:rStyle w:val="Enfasicorsivo"/>
          <w:sz w:val="20"/>
          <w:szCs w:val="20"/>
          <w:lang w:val="en-US"/>
        </w:rPr>
        <w:t>Georgetown Journal of International Affairs</w:t>
      </w:r>
      <w:r w:rsidRPr="005662D8">
        <w:rPr>
          <w:sz w:val="20"/>
          <w:szCs w:val="20"/>
          <w:lang w:val="en-US"/>
        </w:rPr>
        <w:t xml:space="preserve"> 24 (1): 4–11. https://doi.org/10.1353/gia.2023.a897695</w:t>
      </w:r>
    </w:p>
    <w:p w14:paraId="201EA7C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The Insider.</w:t>
      </w:r>
      <w:r w:rsidRPr="005662D8">
        <w:rPr>
          <w:sz w:val="20"/>
          <w:szCs w:val="20"/>
          <w:lang w:val="en-US"/>
        </w:rPr>
        <w:t xml:space="preserve"> 2023. “Nikol Pashinyan’s Chief of Staff Accuses Russian Propagandist Media of Waging Hybrid War against Armenia.” </w:t>
      </w:r>
      <w:r w:rsidRPr="005662D8">
        <w:rPr>
          <w:rStyle w:val="Enfasicorsivo"/>
          <w:sz w:val="20"/>
          <w:szCs w:val="20"/>
          <w:lang w:val="en-US"/>
        </w:rPr>
        <w:t>The Insider</w:t>
      </w:r>
      <w:r w:rsidRPr="005662D8">
        <w:rPr>
          <w:sz w:val="20"/>
          <w:szCs w:val="20"/>
          <w:lang w:val="en-US"/>
        </w:rPr>
        <w:t xml:space="preserve">, September 27. Available at: </w:t>
      </w:r>
      <w:hyperlink r:id="rId248" w:tgtFrame="_new" w:history="1">
        <w:r w:rsidRPr="005662D8">
          <w:rPr>
            <w:rStyle w:val="Collegamentoipertestuale"/>
            <w:sz w:val="20"/>
            <w:szCs w:val="20"/>
            <w:lang w:val="en-US"/>
          </w:rPr>
          <w:t>https://theins.ru/en/news/265355</w:t>
        </w:r>
      </w:hyperlink>
      <w:r w:rsidRPr="005662D8">
        <w:rPr>
          <w:sz w:val="20"/>
          <w:szCs w:val="20"/>
          <w:lang w:val="en-US"/>
        </w:rPr>
        <w:t xml:space="preserve"> (accessed on November 19, 2025).</w:t>
      </w:r>
    </w:p>
    <w:p w14:paraId="53175568" w14:textId="77777777" w:rsidR="00E9035E" w:rsidRPr="005662D8" w:rsidRDefault="00E9035E" w:rsidP="005662D8">
      <w:pPr>
        <w:pStyle w:val="NormaleWeb"/>
        <w:spacing w:line="240" w:lineRule="auto"/>
        <w:rPr>
          <w:sz w:val="20"/>
          <w:szCs w:val="20"/>
          <w:lang w:val="en-US"/>
        </w:rPr>
      </w:pPr>
      <w:r w:rsidRPr="005662D8">
        <w:rPr>
          <w:sz w:val="20"/>
          <w:szCs w:val="20"/>
          <w:lang w:val="en-US"/>
        </w:rPr>
        <w:t xml:space="preserve">The Ministry of Foreign Affairs of the Russian Federation. </w:t>
      </w:r>
      <w:r w:rsidRPr="005662D8">
        <w:rPr>
          <w:rStyle w:val="Enfasicorsivo"/>
          <w:sz w:val="20"/>
          <w:szCs w:val="20"/>
          <w:lang w:val="en-US"/>
        </w:rPr>
        <w:t>The 2013 Foreign Policy Concept of the Russian Federation.</w:t>
      </w:r>
      <w:r w:rsidRPr="005662D8">
        <w:rPr>
          <w:sz w:val="20"/>
          <w:szCs w:val="20"/>
          <w:lang w:val="en-US"/>
        </w:rPr>
        <w:t xml:space="preserve"> 2013. Available at: </w:t>
      </w:r>
      <w:hyperlink r:id="rId249" w:tgtFrame="_new" w:history="1">
        <w:r w:rsidRPr="005662D8">
          <w:rPr>
            <w:rStyle w:val="Collegamentoipertestuale"/>
            <w:sz w:val="20"/>
            <w:szCs w:val="20"/>
            <w:lang w:val="en-US"/>
          </w:rPr>
          <w:t>https://www.ieee.es/Galerias/fichero/docs_marco/2013/DIEEEM06-2013_Rusia_ConceptoPoliticaExterior_FRuizGlez_ENGLISH.pdf</w:t>
        </w:r>
      </w:hyperlink>
      <w:r w:rsidRPr="005662D8">
        <w:rPr>
          <w:sz w:val="20"/>
          <w:szCs w:val="20"/>
          <w:lang w:val="en-US"/>
        </w:rPr>
        <w:t xml:space="preserve"> (accessed on November 19, 2025).</w:t>
      </w:r>
    </w:p>
    <w:p w14:paraId="4134680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Thorun, Christian.</w:t>
      </w:r>
      <w:r w:rsidRPr="005662D8">
        <w:rPr>
          <w:sz w:val="20"/>
          <w:szCs w:val="20"/>
          <w:lang w:val="en-US"/>
        </w:rPr>
        <w:t xml:space="preserve"> 2009. </w:t>
      </w:r>
      <w:r w:rsidRPr="005662D8">
        <w:rPr>
          <w:rStyle w:val="Enfasicorsivo"/>
          <w:sz w:val="20"/>
          <w:szCs w:val="20"/>
          <w:lang w:val="en-US"/>
        </w:rPr>
        <w:t>Explaining Change in Russian Foreign Policy: The Role of Ideas in Post-Soviet Russia’s Conduct towards the West.</w:t>
      </w:r>
      <w:r w:rsidRPr="005662D8">
        <w:rPr>
          <w:sz w:val="20"/>
          <w:szCs w:val="20"/>
          <w:lang w:val="en-US"/>
        </w:rPr>
        <w:t xml:space="preserve"> Basingstoke, United Kingdom: Palgrave Macmillan.</w:t>
      </w:r>
    </w:p>
    <w:p w14:paraId="12868D1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Toal, Gerard.</w:t>
      </w:r>
      <w:r w:rsidRPr="005662D8">
        <w:rPr>
          <w:sz w:val="20"/>
          <w:szCs w:val="20"/>
          <w:lang w:val="en-US"/>
        </w:rPr>
        <w:t xml:space="preserve"> 2017. </w:t>
      </w:r>
      <w:r w:rsidRPr="005662D8">
        <w:rPr>
          <w:rStyle w:val="Enfasicorsivo"/>
          <w:sz w:val="20"/>
          <w:szCs w:val="20"/>
          <w:lang w:val="en-US"/>
        </w:rPr>
        <w:t>Near Abroad: Putin, the West, and the Contest over Ukraine and the Caucasus.</w:t>
      </w:r>
      <w:r w:rsidRPr="005662D8">
        <w:rPr>
          <w:sz w:val="20"/>
          <w:szCs w:val="20"/>
          <w:lang w:val="en-US"/>
        </w:rPr>
        <w:t xml:space="preserve"> Oxford, United Kingdom: Oxford University Press.</w:t>
      </w:r>
    </w:p>
    <w:p w14:paraId="4EDF4A9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Tognini, Giacomo.</w:t>
      </w:r>
      <w:r w:rsidRPr="005662D8">
        <w:rPr>
          <w:sz w:val="20"/>
          <w:szCs w:val="20"/>
          <w:lang w:val="en-US"/>
        </w:rPr>
        <w:t xml:space="preserve"> 2022. “Why Turkey Could Become the Next Haven for Russian Oligarchs Fleeing Sanctions.” </w:t>
      </w:r>
      <w:r w:rsidRPr="005662D8">
        <w:rPr>
          <w:rStyle w:val="Enfasicorsivo"/>
          <w:sz w:val="20"/>
          <w:szCs w:val="20"/>
          <w:lang w:val="en-US"/>
        </w:rPr>
        <w:t>Forbes.</w:t>
      </w:r>
      <w:r w:rsidRPr="005662D8">
        <w:rPr>
          <w:sz w:val="20"/>
          <w:szCs w:val="20"/>
          <w:lang w:val="en-US"/>
        </w:rPr>
        <w:t xml:space="preserve"> May 3. </w:t>
      </w:r>
      <w:hyperlink r:id="rId250" w:tgtFrame="_new" w:history="1">
        <w:r w:rsidRPr="005662D8">
          <w:rPr>
            <w:rStyle w:val="Collegamentoipertestuale"/>
            <w:sz w:val="20"/>
            <w:szCs w:val="20"/>
            <w:lang w:val="en-US"/>
          </w:rPr>
          <w:t>https://www.forbes.com/sites/giacomotognini/2022/05/03/why-turkey-could-become-the-next-haven-for-russian-oligarchs-fleeing-sanctions/</w:t>
        </w:r>
      </w:hyperlink>
      <w:r w:rsidRPr="005662D8">
        <w:rPr>
          <w:sz w:val="20"/>
          <w:szCs w:val="20"/>
          <w:lang w:val="en-US"/>
        </w:rPr>
        <w:t>.</w:t>
      </w:r>
    </w:p>
    <w:p w14:paraId="673DC5F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Tognini, Giacomo. 2022.</w:t>
      </w:r>
      <w:r w:rsidRPr="005662D8">
        <w:rPr>
          <w:sz w:val="20"/>
          <w:szCs w:val="20"/>
          <w:lang w:val="en-US"/>
        </w:rPr>
        <w:t xml:space="preserve"> “Why Turkey Could Become the Next Haven for Russian Oligarchs.” </w:t>
      </w:r>
      <w:r w:rsidRPr="005662D8">
        <w:rPr>
          <w:rStyle w:val="Enfasicorsivo"/>
          <w:sz w:val="20"/>
          <w:szCs w:val="20"/>
          <w:lang w:val="en-US"/>
        </w:rPr>
        <w:t>Forbes.</w:t>
      </w:r>
      <w:r w:rsidRPr="005662D8">
        <w:rPr>
          <w:sz w:val="20"/>
          <w:szCs w:val="20"/>
          <w:lang w:val="en-US"/>
        </w:rPr>
        <w:t xml:space="preserve"> May 3.</w:t>
      </w:r>
    </w:p>
    <w:p w14:paraId="47E094A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Torbakov, Igor.</w:t>
      </w:r>
      <w:r w:rsidRPr="005662D8">
        <w:rPr>
          <w:sz w:val="20"/>
          <w:szCs w:val="20"/>
          <w:lang w:val="en-US"/>
        </w:rPr>
        <w:t xml:space="preserve"> 2011. “History, Memory and National Identity: Understanding the Politics of History and Memory Wars in Post-Soviet Lands.” </w:t>
      </w:r>
      <w:r w:rsidRPr="005662D8">
        <w:rPr>
          <w:rStyle w:val="Enfasicorsivo"/>
          <w:sz w:val="20"/>
          <w:szCs w:val="20"/>
          <w:lang w:val="en-US"/>
        </w:rPr>
        <w:t>Demokratizatsiya: The Journal of Post-Soviet Democratization</w:t>
      </w:r>
      <w:r w:rsidRPr="005662D8">
        <w:rPr>
          <w:sz w:val="20"/>
          <w:szCs w:val="20"/>
          <w:lang w:val="en-US"/>
        </w:rPr>
        <w:t xml:space="preserve"> 19 (3): 209–32.</w:t>
      </w:r>
    </w:p>
    <w:p w14:paraId="0DB2E704"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Travaglino, Giovanni A., Dominic Abrams, and Georgina Randsley de Moura.</w:t>
      </w:r>
      <w:r w:rsidRPr="005662D8">
        <w:rPr>
          <w:sz w:val="20"/>
          <w:szCs w:val="20"/>
          <w:lang w:val="en-US"/>
        </w:rPr>
        <w:t xml:space="preserve"> 2016. “Men of Honor Don’t Talk: The Relationship between Masculine Honor and Social Activism against Criminal Organizations in Italy.” </w:t>
      </w:r>
      <w:r w:rsidRPr="005662D8">
        <w:rPr>
          <w:rStyle w:val="Enfasicorsivo"/>
          <w:sz w:val="20"/>
          <w:szCs w:val="20"/>
          <w:lang w:val="en-US"/>
        </w:rPr>
        <w:t>Political Psychology</w:t>
      </w:r>
      <w:r w:rsidRPr="005662D8">
        <w:rPr>
          <w:sz w:val="20"/>
          <w:szCs w:val="20"/>
          <w:lang w:val="en-US"/>
        </w:rPr>
        <w:t xml:space="preserve"> 37 (2): 183–99. </w:t>
      </w:r>
      <w:hyperlink r:id="rId251" w:history="1">
        <w:r w:rsidRPr="005662D8">
          <w:rPr>
            <w:rStyle w:val="Collegamentoipertestuale"/>
            <w:sz w:val="20"/>
            <w:szCs w:val="20"/>
            <w:lang w:val="en-US"/>
          </w:rPr>
          <w:t>https://doi.org/10.1111/pops.12226</w:t>
        </w:r>
      </w:hyperlink>
      <w:r w:rsidRPr="005662D8">
        <w:rPr>
          <w:sz w:val="20"/>
          <w:szCs w:val="20"/>
          <w:lang w:val="en-US"/>
        </w:rPr>
        <w:t>.</w:t>
      </w:r>
    </w:p>
    <w:p w14:paraId="235547F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Trenin, Dmitri.</w:t>
      </w:r>
      <w:r w:rsidRPr="005662D8">
        <w:rPr>
          <w:sz w:val="20"/>
          <w:szCs w:val="20"/>
          <w:lang w:val="en-US"/>
        </w:rPr>
        <w:t xml:space="preserve"> 2006. “Russia Leaves the West.” </w:t>
      </w:r>
      <w:r w:rsidRPr="005662D8">
        <w:rPr>
          <w:rStyle w:val="Enfasicorsivo"/>
          <w:sz w:val="20"/>
          <w:szCs w:val="20"/>
          <w:lang w:val="en-US"/>
        </w:rPr>
        <w:t>Foreign Affairs</w:t>
      </w:r>
      <w:r w:rsidRPr="005662D8">
        <w:rPr>
          <w:sz w:val="20"/>
          <w:szCs w:val="20"/>
          <w:lang w:val="en-US"/>
        </w:rPr>
        <w:t xml:space="preserve"> 85 (4): 87–96. </w:t>
      </w:r>
      <w:hyperlink r:id="rId252" w:history="1">
        <w:r w:rsidRPr="005662D8">
          <w:rPr>
            <w:rStyle w:val="Collegamentoipertestuale"/>
            <w:sz w:val="20"/>
            <w:szCs w:val="20"/>
            <w:lang w:val="en-US"/>
          </w:rPr>
          <w:t>https://doi.org/10.2307/20032043</w:t>
        </w:r>
      </w:hyperlink>
      <w:r w:rsidRPr="005662D8">
        <w:rPr>
          <w:sz w:val="20"/>
          <w:szCs w:val="20"/>
          <w:lang w:val="en-US"/>
        </w:rPr>
        <w:t>.</w:t>
      </w:r>
    </w:p>
    <w:p w14:paraId="19B69B7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Trenin, Dmitri. 2014.</w:t>
      </w:r>
      <w:r w:rsidRPr="005662D8">
        <w:rPr>
          <w:sz w:val="20"/>
          <w:szCs w:val="20"/>
          <w:lang w:val="en-US"/>
        </w:rPr>
        <w:t xml:space="preserve"> </w:t>
      </w:r>
      <w:r w:rsidRPr="005662D8">
        <w:rPr>
          <w:rStyle w:val="Enfasicorsivo"/>
          <w:sz w:val="20"/>
          <w:szCs w:val="20"/>
          <w:lang w:val="en-US"/>
        </w:rPr>
        <w:t>Russia’s Breakout from the Post–Cold War System: The Drivers of Putin’s Course.</w:t>
      </w:r>
      <w:r w:rsidRPr="005662D8">
        <w:rPr>
          <w:sz w:val="20"/>
          <w:szCs w:val="20"/>
          <w:lang w:val="en-US"/>
        </w:rPr>
        <w:t xml:space="preserve"> Moscow, Russian Federation: Carnegie Endowment for International Peace.</w:t>
      </w:r>
    </w:p>
    <w:p w14:paraId="0D76B159" w14:textId="77777777" w:rsidR="00E9035E" w:rsidRPr="005662D8" w:rsidRDefault="00E9035E" w:rsidP="005662D8">
      <w:pPr>
        <w:pStyle w:val="NormaleWeb"/>
        <w:spacing w:line="240" w:lineRule="auto"/>
        <w:rPr>
          <w:bCs/>
          <w:sz w:val="20"/>
          <w:szCs w:val="20"/>
          <w:lang w:val="en-US"/>
        </w:rPr>
      </w:pPr>
      <w:r w:rsidRPr="005662D8">
        <w:rPr>
          <w:bCs/>
          <w:sz w:val="20"/>
          <w:szCs w:val="20"/>
          <w:lang w:val="en-US"/>
        </w:rPr>
        <w:t xml:space="preserve">Tsygankov, Andrei P. 2014a. </w:t>
      </w:r>
      <w:r w:rsidRPr="005662D8">
        <w:rPr>
          <w:bCs/>
          <w:i/>
          <w:iCs/>
          <w:sz w:val="20"/>
          <w:szCs w:val="20"/>
          <w:lang w:val="en-US"/>
        </w:rPr>
        <w:t>Russia and the West from Alexander to Putin: Honor in International Relations</w:t>
      </w:r>
      <w:r w:rsidRPr="005662D8">
        <w:rPr>
          <w:bCs/>
          <w:sz w:val="20"/>
          <w:szCs w:val="20"/>
          <w:lang w:val="en-US"/>
        </w:rPr>
        <w:t xml:space="preserve">. Cambridge, United Kingdom: Cambridge University Press. </w:t>
      </w:r>
    </w:p>
    <w:p w14:paraId="1D7E4EA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Tsygankov, Andrei P.</w:t>
      </w:r>
      <w:r w:rsidRPr="005662D8">
        <w:rPr>
          <w:sz w:val="20"/>
          <w:szCs w:val="20"/>
          <w:lang w:val="en-US"/>
        </w:rPr>
        <w:t xml:space="preserve"> 2014b. </w:t>
      </w:r>
      <w:r w:rsidRPr="005662D8">
        <w:rPr>
          <w:rStyle w:val="Enfasicorsivo"/>
          <w:sz w:val="20"/>
          <w:szCs w:val="20"/>
          <w:lang w:val="en-US"/>
        </w:rPr>
        <w:t>The Strong State in Russia: Development and Crisis.</w:t>
      </w:r>
      <w:r w:rsidRPr="005662D8">
        <w:rPr>
          <w:sz w:val="20"/>
          <w:szCs w:val="20"/>
          <w:lang w:val="en-US"/>
        </w:rPr>
        <w:t xml:space="preserve"> Oxford, United Kingdom: Oxford University Press..</w:t>
      </w:r>
    </w:p>
    <w:p w14:paraId="119BC2F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Tsygankov, Andrei P., and Pavel A. Tsygankov.</w:t>
      </w:r>
      <w:r w:rsidRPr="005662D8">
        <w:rPr>
          <w:sz w:val="20"/>
          <w:szCs w:val="20"/>
          <w:lang w:val="en-US"/>
        </w:rPr>
        <w:t xml:space="preserve"> 2021. “Constructing National Values: The Nationally Distinctive Turn in Russian IR Theory and Foreign Policy.” </w:t>
      </w:r>
      <w:r w:rsidRPr="005662D8">
        <w:rPr>
          <w:rStyle w:val="Enfasicorsivo"/>
          <w:sz w:val="20"/>
          <w:szCs w:val="20"/>
          <w:lang w:val="en-US"/>
        </w:rPr>
        <w:t>Foreign Policy Analysis</w:t>
      </w:r>
      <w:r w:rsidRPr="005662D8">
        <w:rPr>
          <w:sz w:val="20"/>
          <w:szCs w:val="20"/>
          <w:lang w:val="en-US"/>
        </w:rPr>
        <w:t xml:space="preserve"> 17 (4): 1–20. </w:t>
      </w:r>
      <w:hyperlink r:id="rId253" w:history="1">
        <w:r w:rsidRPr="005662D8">
          <w:rPr>
            <w:rStyle w:val="Collegamentoipertestuale"/>
            <w:sz w:val="20"/>
            <w:szCs w:val="20"/>
            <w:lang w:val="en-US"/>
          </w:rPr>
          <w:t>https://doi.org/10.1093/fpa/orab022</w:t>
        </w:r>
      </w:hyperlink>
      <w:r w:rsidRPr="005662D8">
        <w:rPr>
          <w:sz w:val="20"/>
          <w:szCs w:val="20"/>
          <w:lang w:val="en-US"/>
        </w:rPr>
        <w:t>.</w:t>
      </w:r>
    </w:p>
    <w:p w14:paraId="787CB901" w14:textId="345FA3ED" w:rsidR="00CC5EE6" w:rsidRPr="005662D8" w:rsidRDefault="00E9035E" w:rsidP="00CC5EE6">
      <w:pPr>
        <w:pStyle w:val="NormaleWeb"/>
        <w:spacing w:line="240" w:lineRule="auto"/>
        <w:rPr>
          <w:sz w:val="20"/>
          <w:szCs w:val="20"/>
          <w:lang w:val="en-US"/>
        </w:rPr>
      </w:pPr>
      <w:r w:rsidRPr="005662D8">
        <w:rPr>
          <w:rStyle w:val="Enfasigrassetto"/>
          <w:b w:val="0"/>
          <w:sz w:val="20"/>
          <w:szCs w:val="20"/>
          <w:lang w:val="en-US"/>
        </w:rPr>
        <w:t>Untalan, Carmina Yu.</w:t>
      </w:r>
      <w:r w:rsidRPr="005662D8">
        <w:rPr>
          <w:sz w:val="20"/>
          <w:szCs w:val="20"/>
          <w:lang w:val="en-US"/>
        </w:rPr>
        <w:t xml:space="preserve"> 2019. “Decentering the Self, Seeing like the Other: Toward a Postcolonial Approach to Ontological Security.” </w:t>
      </w:r>
      <w:r w:rsidRPr="005662D8">
        <w:rPr>
          <w:rStyle w:val="Enfasicorsivo"/>
          <w:sz w:val="20"/>
          <w:szCs w:val="20"/>
          <w:lang w:val="en-US"/>
        </w:rPr>
        <w:t>International Political Sociology,</w:t>
      </w:r>
      <w:r w:rsidRPr="005662D8">
        <w:rPr>
          <w:sz w:val="20"/>
          <w:szCs w:val="20"/>
          <w:lang w:val="en-US"/>
        </w:rPr>
        <w:t xml:space="preserve"> 40–56. </w:t>
      </w:r>
      <w:hyperlink r:id="rId254" w:history="1">
        <w:r w:rsidR="00CC5EE6" w:rsidRPr="00F3725E">
          <w:rPr>
            <w:rStyle w:val="Collegamentoipertestuale"/>
            <w:sz w:val="20"/>
            <w:szCs w:val="20"/>
            <w:lang w:val="en-US"/>
          </w:rPr>
          <w:t>https://doi.org/10.1093/ips/olz018</w:t>
        </w:r>
      </w:hyperlink>
      <w:r w:rsidRPr="005662D8">
        <w:rPr>
          <w:sz w:val="20"/>
          <w:szCs w:val="20"/>
          <w:lang w:val="en-US"/>
        </w:rPr>
        <w:t>.</w:t>
      </w:r>
    </w:p>
    <w:p w14:paraId="76957F8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Uskul, Ayse K., Susan E. Cross, and Ceren Günsoy.</w:t>
      </w:r>
      <w:r w:rsidRPr="005662D8">
        <w:rPr>
          <w:sz w:val="20"/>
          <w:szCs w:val="20"/>
          <w:lang w:val="en-US"/>
        </w:rPr>
        <w:t xml:space="preserve"> 2022. “The Role of Honour in Interpersonal, Intrapersonal and Intergroup Processes.” </w:t>
      </w:r>
      <w:r w:rsidRPr="005662D8">
        <w:rPr>
          <w:rStyle w:val="Enfasicorsivo"/>
          <w:sz w:val="20"/>
          <w:szCs w:val="20"/>
          <w:lang w:val="en-US"/>
        </w:rPr>
        <w:t>Social and Personality Psychology Compass</w:t>
      </w:r>
      <w:r w:rsidRPr="005662D8">
        <w:rPr>
          <w:sz w:val="20"/>
          <w:szCs w:val="20"/>
          <w:lang w:val="en-US"/>
        </w:rPr>
        <w:t xml:space="preserve"> 17 (1). </w:t>
      </w:r>
      <w:hyperlink r:id="rId255" w:history="1">
        <w:r w:rsidRPr="005662D8">
          <w:rPr>
            <w:rStyle w:val="Collegamentoipertestuale"/>
            <w:sz w:val="20"/>
            <w:szCs w:val="20"/>
            <w:lang w:val="en-US"/>
          </w:rPr>
          <w:t>https://doi.org/10.1111/spc3.12719</w:t>
        </w:r>
      </w:hyperlink>
      <w:r w:rsidRPr="005662D8">
        <w:rPr>
          <w:sz w:val="20"/>
          <w:szCs w:val="20"/>
          <w:lang w:val="en-US"/>
        </w:rPr>
        <w:t>.</w:t>
      </w:r>
    </w:p>
    <w:p w14:paraId="604AC379"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Vandello, Joseph A., and Dov Cohen.</w:t>
      </w:r>
      <w:r w:rsidRPr="005662D8">
        <w:rPr>
          <w:sz w:val="20"/>
          <w:szCs w:val="20"/>
          <w:lang w:val="en-US"/>
        </w:rPr>
        <w:t xml:space="preserve"> 2003. “Male Honor and Female Fidelity: Implicit Cultural Scripts That Perpetuate Domestic Violence.” </w:t>
      </w:r>
      <w:r w:rsidRPr="005662D8">
        <w:rPr>
          <w:rStyle w:val="Enfasicorsivo"/>
          <w:sz w:val="20"/>
          <w:szCs w:val="20"/>
          <w:lang w:val="en-US"/>
        </w:rPr>
        <w:t>Journal of Personality and Social Psychology</w:t>
      </w:r>
      <w:r w:rsidRPr="005662D8">
        <w:rPr>
          <w:sz w:val="20"/>
          <w:szCs w:val="20"/>
          <w:lang w:val="en-US"/>
        </w:rPr>
        <w:t xml:space="preserve"> 84 (5): 997–1010. https://doi.org/10.1037/0022-3514.84.5.997.</w:t>
      </w:r>
    </w:p>
    <w:p w14:paraId="2F39D9FE"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Vékony, Dániel.</w:t>
      </w:r>
      <w:r w:rsidRPr="005662D8">
        <w:rPr>
          <w:sz w:val="20"/>
          <w:szCs w:val="20"/>
          <w:lang w:val="en-US"/>
        </w:rPr>
        <w:t xml:space="preserve"> 2017. “Confronting a Divided Past for a Shared Future: The Lieux de Mémoire of the Altab Ali Park in London.” </w:t>
      </w:r>
      <w:r w:rsidRPr="005662D8">
        <w:rPr>
          <w:rStyle w:val="Enfasicorsivo"/>
          <w:sz w:val="20"/>
          <w:szCs w:val="20"/>
          <w:lang w:val="en-US"/>
        </w:rPr>
        <w:t>Society and Economy</w:t>
      </w:r>
      <w:r w:rsidRPr="005662D8">
        <w:rPr>
          <w:sz w:val="20"/>
          <w:szCs w:val="20"/>
          <w:lang w:val="en-US"/>
        </w:rPr>
        <w:t xml:space="preserve"> 39 (3): 409–27. </w:t>
      </w:r>
      <w:hyperlink r:id="rId256" w:history="1">
        <w:r w:rsidRPr="005662D8">
          <w:rPr>
            <w:rStyle w:val="Collegamentoipertestuale"/>
            <w:sz w:val="20"/>
            <w:szCs w:val="20"/>
            <w:lang w:val="en-US"/>
          </w:rPr>
          <w:t>https://doi.org/10.1556/204.2017.001</w:t>
        </w:r>
      </w:hyperlink>
      <w:r w:rsidRPr="005662D8">
        <w:rPr>
          <w:sz w:val="20"/>
          <w:szCs w:val="20"/>
          <w:lang w:val="en-US"/>
        </w:rPr>
        <w:t>.</w:t>
      </w:r>
    </w:p>
    <w:p w14:paraId="596CA15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Vennesson, Pascal. 2008.</w:t>
      </w:r>
      <w:r w:rsidRPr="005662D8">
        <w:rPr>
          <w:sz w:val="20"/>
          <w:szCs w:val="20"/>
          <w:lang w:val="en-US"/>
        </w:rPr>
        <w:t xml:space="preserve"> “Case Studies and Process Tracing.” In </w:t>
      </w:r>
      <w:r w:rsidRPr="005662D8">
        <w:rPr>
          <w:rStyle w:val="Enfasicorsivo"/>
          <w:sz w:val="20"/>
          <w:szCs w:val="20"/>
          <w:lang w:val="en-US"/>
        </w:rPr>
        <w:t>Approaches and Methodologies in the Social Sciences</w:t>
      </w:r>
      <w:r w:rsidRPr="005662D8">
        <w:rPr>
          <w:sz w:val="20"/>
          <w:szCs w:val="20"/>
          <w:lang w:val="en-US"/>
        </w:rPr>
        <w:t>, 223–39. Cambridge.</w:t>
      </w:r>
    </w:p>
    <w:p w14:paraId="3777608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Vennesson, Pascal.</w:t>
      </w:r>
      <w:r w:rsidRPr="005662D8">
        <w:rPr>
          <w:sz w:val="20"/>
          <w:szCs w:val="20"/>
          <w:lang w:val="en-US"/>
        </w:rPr>
        <w:t xml:space="preserve"> 2008. “Case Studies and Process Tracing: Theories and Practices.” In </w:t>
      </w:r>
      <w:r w:rsidRPr="005662D8">
        <w:rPr>
          <w:rStyle w:val="Enfasicorsivo"/>
          <w:sz w:val="20"/>
          <w:szCs w:val="20"/>
          <w:lang w:val="en-US"/>
        </w:rPr>
        <w:t>Approaches and Methodologies in the Social Sciences: A Pluralist Perspective,</w:t>
      </w:r>
      <w:r w:rsidRPr="005662D8">
        <w:rPr>
          <w:sz w:val="20"/>
          <w:szCs w:val="20"/>
          <w:lang w:val="en-US"/>
        </w:rPr>
        <w:t xml:space="preserve"> 223–39. Cambridge, United Kingdom: Cambridge University Press.</w:t>
      </w:r>
    </w:p>
    <w:p w14:paraId="79BFCD0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Verovšek, Peter J.</w:t>
      </w:r>
      <w:r w:rsidRPr="005662D8">
        <w:rPr>
          <w:sz w:val="20"/>
          <w:szCs w:val="20"/>
          <w:lang w:val="en-US"/>
        </w:rPr>
        <w:t xml:space="preserve"> 2016. “Collective Memory, Politics, and the Influence of the Past: The Politics of Memory as a Research Paradigm.” </w:t>
      </w:r>
      <w:r w:rsidRPr="005662D8">
        <w:rPr>
          <w:rStyle w:val="Enfasicorsivo"/>
          <w:sz w:val="20"/>
          <w:szCs w:val="20"/>
          <w:lang w:val="en-US"/>
        </w:rPr>
        <w:t>Politics, Groups, and Identities</w:t>
      </w:r>
      <w:r w:rsidRPr="005662D8">
        <w:rPr>
          <w:sz w:val="20"/>
          <w:szCs w:val="20"/>
          <w:lang w:val="en-US"/>
        </w:rPr>
        <w:t xml:space="preserve"> 4 (3): 529–43. </w:t>
      </w:r>
      <w:hyperlink r:id="rId257" w:history="1">
        <w:r w:rsidRPr="005662D8">
          <w:rPr>
            <w:rStyle w:val="Collegamentoipertestuale"/>
            <w:sz w:val="20"/>
            <w:szCs w:val="20"/>
            <w:lang w:val="en-US"/>
          </w:rPr>
          <w:t>https://doi.org/10.1080/21565503.2016.1167094</w:t>
        </w:r>
      </w:hyperlink>
      <w:r w:rsidRPr="005662D8">
        <w:rPr>
          <w:sz w:val="20"/>
          <w:szCs w:val="20"/>
          <w:lang w:val="en-US"/>
        </w:rPr>
        <w:t>.</w:t>
      </w:r>
    </w:p>
    <w:p w14:paraId="4E2A3EA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Vinokurov, Evgeny Y., Arman Ahunbaev, and Alexander I. Zaboev.</w:t>
      </w:r>
      <w:r w:rsidRPr="005662D8">
        <w:rPr>
          <w:sz w:val="20"/>
          <w:szCs w:val="20"/>
          <w:lang w:val="en-US"/>
        </w:rPr>
        <w:t xml:space="preserve"> 2022. “International North–South Transport Corridor: Boosting Russia’s ‘Pivot to the South’ and Trans-Eurasian Connectivity.” </w:t>
      </w:r>
      <w:r w:rsidRPr="005662D8">
        <w:rPr>
          <w:rStyle w:val="Enfasicorsivo"/>
          <w:sz w:val="20"/>
          <w:szCs w:val="20"/>
          <w:lang w:val="en-US"/>
        </w:rPr>
        <w:t>Russian Journal of Economics</w:t>
      </w:r>
      <w:r w:rsidRPr="005662D8">
        <w:rPr>
          <w:sz w:val="20"/>
          <w:szCs w:val="20"/>
          <w:lang w:val="en-US"/>
        </w:rPr>
        <w:t xml:space="preserve"> 8 (2): 159–73. </w:t>
      </w:r>
      <w:hyperlink r:id="rId258" w:history="1">
        <w:r w:rsidRPr="005662D8">
          <w:rPr>
            <w:rStyle w:val="Collegamentoipertestuale"/>
            <w:sz w:val="20"/>
            <w:szCs w:val="20"/>
            <w:lang w:val="en-US"/>
          </w:rPr>
          <w:t>https://doi.org/10.32609/j.ruje.8.86617</w:t>
        </w:r>
      </w:hyperlink>
      <w:r w:rsidRPr="005662D8">
        <w:rPr>
          <w:sz w:val="20"/>
          <w:szCs w:val="20"/>
          <w:lang w:val="en-US"/>
        </w:rPr>
        <w:t>.</w:t>
      </w:r>
    </w:p>
    <w:p w14:paraId="45B302F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Vinokurov, Evgeny Y., Arman Ahunbaev, and Alexander I. Zaboev. 2022.</w:t>
      </w:r>
      <w:r w:rsidRPr="005662D8">
        <w:rPr>
          <w:sz w:val="20"/>
          <w:szCs w:val="20"/>
          <w:lang w:val="en-US"/>
        </w:rPr>
        <w:t xml:space="preserve"> “International North–South Transport Corridor.” </w:t>
      </w:r>
      <w:r w:rsidRPr="005662D8">
        <w:rPr>
          <w:rStyle w:val="Enfasicorsivo"/>
          <w:sz w:val="20"/>
          <w:szCs w:val="20"/>
          <w:lang w:val="en-US"/>
        </w:rPr>
        <w:t>Russian Journal of Economics</w:t>
      </w:r>
      <w:r w:rsidRPr="005662D8">
        <w:rPr>
          <w:sz w:val="20"/>
          <w:szCs w:val="20"/>
          <w:lang w:val="en-US"/>
        </w:rPr>
        <w:t xml:space="preserve"> 8 (2): 159–73.</w:t>
      </w:r>
    </w:p>
    <w:p w14:paraId="7F854CD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Visit to Ulan-Ude Aviation Plant. 2023.</w:t>
      </w:r>
      <w:r w:rsidRPr="005662D8">
        <w:rPr>
          <w:sz w:val="20"/>
          <w:szCs w:val="20"/>
          <w:lang w:val="en-US"/>
        </w:rPr>
        <w:t xml:space="preserve"> President of Russia. March 14. </w:t>
      </w:r>
      <w:hyperlink r:id="rId259" w:tgtFrame="_new" w:history="1">
        <w:r w:rsidRPr="005662D8">
          <w:rPr>
            <w:rStyle w:val="Collegamentoipertestuale"/>
            <w:sz w:val="20"/>
            <w:szCs w:val="20"/>
            <w:lang w:val="en-US"/>
          </w:rPr>
          <w:t>http://en.kremlin.ru/events/president/news/70674</w:t>
        </w:r>
      </w:hyperlink>
      <w:r w:rsidRPr="005662D8">
        <w:rPr>
          <w:sz w:val="20"/>
          <w:szCs w:val="20"/>
          <w:lang w:val="en-US"/>
        </w:rPr>
        <w:t>.</w:t>
      </w:r>
    </w:p>
    <w:p w14:paraId="37E2AEA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Volgy, Thomas J.</w:t>
      </w:r>
      <w:r w:rsidRPr="005662D8">
        <w:rPr>
          <w:sz w:val="20"/>
          <w:szCs w:val="20"/>
          <w:lang w:val="en-US"/>
        </w:rPr>
        <w:t xml:space="preserve"> 2011. </w:t>
      </w:r>
      <w:r w:rsidRPr="005662D8">
        <w:rPr>
          <w:rStyle w:val="Enfasicorsivo"/>
          <w:sz w:val="20"/>
          <w:szCs w:val="20"/>
          <w:lang w:val="en-US"/>
        </w:rPr>
        <w:t>Major Powers and the Quest for Status in International Politics: Global and Regional Perspectives.</w:t>
      </w:r>
      <w:r w:rsidRPr="005662D8">
        <w:rPr>
          <w:sz w:val="20"/>
          <w:szCs w:val="20"/>
          <w:lang w:val="en-US"/>
        </w:rPr>
        <w:t xml:space="preserve"> New York, United States: Palgrave Macmillan..</w:t>
      </w:r>
    </w:p>
    <w:p w14:paraId="0E52F39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Von Essen, Hugo, and August Danielson.</w:t>
      </w:r>
      <w:r w:rsidRPr="005662D8">
        <w:rPr>
          <w:sz w:val="20"/>
          <w:szCs w:val="20"/>
          <w:lang w:val="en-US"/>
        </w:rPr>
        <w:t xml:space="preserve"> 2023. “A Typology of Ontological Insecurity Mechanisms: Russia’s Military Engagement in Syria.” </w:t>
      </w:r>
      <w:r w:rsidRPr="005662D8">
        <w:rPr>
          <w:rStyle w:val="Enfasicorsivo"/>
          <w:sz w:val="20"/>
          <w:szCs w:val="20"/>
          <w:lang w:val="en-US"/>
        </w:rPr>
        <w:t>International Studies Review</w:t>
      </w:r>
      <w:r w:rsidRPr="005662D8">
        <w:rPr>
          <w:sz w:val="20"/>
          <w:szCs w:val="20"/>
          <w:lang w:val="en-US"/>
        </w:rPr>
        <w:t xml:space="preserve"> 25 (2): 1–25. </w:t>
      </w:r>
      <w:hyperlink r:id="rId260" w:history="1">
        <w:r w:rsidRPr="005662D8">
          <w:rPr>
            <w:rStyle w:val="Collegamentoipertestuale"/>
            <w:sz w:val="20"/>
            <w:szCs w:val="20"/>
            <w:lang w:val="en-US"/>
          </w:rPr>
          <w:t>https://doi.org/10.1093/isr/viad016</w:t>
        </w:r>
      </w:hyperlink>
      <w:r w:rsidRPr="005662D8">
        <w:rPr>
          <w:sz w:val="20"/>
          <w:szCs w:val="20"/>
          <w:lang w:val="en-US"/>
        </w:rPr>
        <w:t>.</w:t>
      </w:r>
    </w:p>
    <w:p w14:paraId="1F57C72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Von Essen, Hugo, and Jakob Hedenskog.</w:t>
      </w:r>
      <w:r w:rsidRPr="005662D8">
        <w:rPr>
          <w:sz w:val="20"/>
          <w:szCs w:val="20"/>
          <w:lang w:val="en-US"/>
        </w:rPr>
        <w:t xml:space="preserve"> 2025. “Armenia’s European Hopes amid Georgia’s Crisis: The EU’s Opportunity in the South Caucasus.” </w:t>
      </w:r>
      <w:r w:rsidRPr="005662D8">
        <w:rPr>
          <w:rStyle w:val="Enfasicorsivo"/>
          <w:sz w:val="20"/>
          <w:szCs w:val="20"/>
          <w:lang w:val="en-US"/>
        </w:rPr>
        <w:t>SCEEUS</w:t>
      </w:r>
      <w:r w:rsidRPr="005662D8">
        <w:rPr>
          <w:sz w:val="20"/>
          <w:szCs w:val="20"/>
          <w:lang w:val="en-US"/>
        </w:rPr>
        <w:t xml:space="preserve"> 8: 1–14.</w:t>
      </w:r>
    </w:p>
    <w:p w14:paraId="058071E6"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Vykhov, Kirill. 2009.</w:t>
      </w:r>
      <w:r w:rsidRPr="005662D8">
        <w:rPr>
          <w:sz w:val="20"/>
          <w:szCs w:val="20"/>
          <w:lang w:val="en-US"/>
        </w:rPr>
        <w:t xml:space="preserve"> “Vystuplenie Svyateishego Patriarkha Kirilla na Torzhestvennom Otkrytii III Assamblei Russkogo Mira.” Russian Orthodox Church. </w:t>
      </w:r>
      <w:hyperlink r:id="rId261" w:tgtFrame="_new" w:history="1">
        <w:r w:rsidRPr="005662D8">
          <w:rPr>
            <w:rStyle w:val="Collegamentoipertestuale"/>
            <w:sz w:val="20"/>
            <w:szCs w:val="20"/>
            <w:lang w:val="en-US"/>
          </w:rPr>
          <w:t>http://www.patriarchia.ru/db/print/928446.html</w:t>
        </w:r>
      </w:hyperlink>
      <w:r w:rsidRPr="005662D8">
        <w:rPr>
          <w:sz w:val="20"/>
          <w:szCs w:val="20"/>
          <w:lang w:val="en-US"/>
        </w:rPr>
        <w:t>.</w:t>
      </w:r>
    </w:p>
    <w:p w14:paraId="2B9E3DA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Waltz, Kenneth N.</w:t>
      </w:r>
      <w:r w:rsidRPr="005662D8">
        <w:rPr>
          <w:sz w:val="20"/>
          <w:szCs w:val="20"/>
          <w:lang w:val="en-US"/>
        </w:rPr>
        <w:t xml:space="preserve"> 2010. </w:t>
      </w:r>
      <w:r w:rsidRPr="005662D8">
        <w:rPr>
          <w:rStyle w:val="Enfasicorsivo"/>
          <w:sz w:val="20"/>
          <w:szCs w:val="20"/>
          <w:lang w:val="en-US"/>
        </w:rPr>
        <w:t>Theory of International Politics.</w:t>
      </w:r>
      <w:r w:rsidRPr="005662D8">
        <w:rPr>
          <w:sz w:val="20"/>
          <w:szCs w:val="20"/>
          <w:lang w:val="en-US"/>
        </w:rPr>
        <w:t xml:space="preserve"> Long Grove, Illinois, United States: Waveland Press.</w:t>
      </w:r>
    </w:p>
    <w:p w14:paraId="70AFF2E0"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Weldes, Jutta.</w:t>
      </w:r>
      <w:r w:rsidRPr="005662D8">
        <w:rPr>
          <w:sz w:val="20"/>
          <w:szCs w:val="20"/>
          <w:lang w:val="en-US"/>
        </w:rPr>
        <w:t xml:space="preserve"> 2014. “High Politics and Low Data: Globalization Discourses and Popular Culture.” In </w:t>
      </w:r>
      <w:r w:rsidRPr="005662D8">
        <w:rPr>
          <w:rStyle w:val="Enfasicorsivo"/>
          <w:sz w:val="20"/>
          <w:szCs w:val="20"/>
          <w:lang w:val="en-US"/>
        </w:rPr>
        <w:t>Interpretation and Method: Empirical Research Methods and the Interpretive Turn,</w:t>
      </w:r>
      <w:r w:rsidRPr="005662D8">
        <w:rPr>
          <w:sz w:val="20"/>
          <w:szCs w:val="20"/>
          <w:lang w:val="en-US"/>
        </w:rPr>
        <w:t xml:space="preserve"> 220–42. New York, United States: Routledge.</w:t>
      </w:r>
    </w:p>
    <w:p w14:paraId="290578F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Wendt, Alexander.</w:t>
      </w:r>
      <w:r w:rsidRPr="005662D8">
        <w:rPr>
          <w:sz w:val="20"/>
          <w:szCs w:val="20"/>
          <w:lang w:val="en-US"/>
        </w:rPr>
        <w:t xml:space="preserve"> 1994. “Collective Identity Formation and the International State.” </w:t>
      </w:r>
      <w:r w:rsidRPr="005662D8">
        <w:rPr>
          <w:rStyle w:val="Enfasicorsivo"/>
          <w:sz w:val="20"/>
          <w:szCs w:val="20"/>
          <w:lang w:val="en-US"/>
        </w:rPr>
        <w:t>American Political Science Review</w:t>
      </w:r>
      <w:r w:rsidRPr="005662D8">
        <w:rPr>
          <w:sz w:val="20"/>
          <w:szCs w:val="20"/>
          <w:lang w:val="en-US"/>
        </w:rPr>
        <w:t xml:space="preserve"> 88 (2): 384–96. https://doi.org/10.2307/2944711.</w:t>
      </w:r>
    </w:p>
    <w:p w14:paraId="51FE12F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Werth, Paul.</w:t>
      </w:r>
      <w:r w:rsidRPr="005662D8">
        <w:rPr>
          <w:sz w:val="20"/>
          <w:szCs w:val="20"/>
          <w:lang w:val="en-US"/>
        </w:rPr>
        <w:t xml:space="preserve"> 2006. “Glava Tserkvi, Poddannyy Imperatora: Armyanskiy Katolikos na Perekrestke Vnutrenney i Vneshney Politiki Imperii, 1828–1914.” </w:t>
      </w:r>
      <w:r w:rsidRPr="005662D8">
        <w:rPr>
          <w:rStyle w:val="Enfasicorsivo"/>
          <w:sz w:val="20"/>
          <w:szCs w:val="20"/>
          <w:lang w:val="en-US"/>
        </w:rPr>
        <w:t>Ab Imperio</w:t>
      </w:r>
      <w:r w:rsidRPr="005662D8">
        <w:rPr>
          <w:sz w:val="20"/>
          <w:szCs w:val="20"/>
          <w:lang w:val="en-US"/>
        </w:rPr>
        <w:t xml:space="preserve"> 2006 (3): 99–138. https://doi.org/10.1353/imp.2006.0107.</w:t>
      </w:r>
    </w:p>
    <w:p w14:paraId="1B2A5DE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Wertsch, James V.</w:t>
      </w:r>
      <w:r w:rsidRPr="005662D8">
        <w:rPr>
          <w:sz w:val="20"/>
          <w:szCs w:val="20"/>
          <w:lang w:val="en-US"/>
        </w:rPr>
        <w:t xml:space="preserve"> 2008. “Collective Memory.” In </w:t>
      </w:r>
      <w:r w:rsidRPr="005662D8">
        <w:rPr>
          <w:rStyle w:val="Enfasicorsivo"/>
          <w:sz w:val="20"/>
          <w:szCs w:val="20"/>
          <w:lang w:val="en-US"/>
        </w:rPr>
        <w:t>Memory in Mind and Culture,</w:t>
      </w:r>
      <w:r w:rsidRPr="005662D8">
        <w:rPr>
          <w:sz w:val="20"/>
          <w:szCs w:val="20"/>
          <w:lang w:val="en-US"/>
        </w:rPr>
        <w:t xml:space="preserve"> 117–37. </w:t>
      </w:r>
      <w:hyperlink r:id="rId262" w:history="1">
        <w:r w:rsidRPr="005662D8">
          <w:rPr>
            <w:rStyle w:val="Collegamentoipertestuale"/>
            <w:sz w:val="20"/>
            <w:szCs w:val="20"/>
            <w:lang w:val="en-US"/>
          </w:rPr>
          <w:t>https://doi.org/10.1017/cbo9780511626999.008</w:t>
        </w:r>
      </w:hyperlink>
      <w:r w:rsidRPr="005662D8">
        <w:rPr>
          <w:sz w:val="20"/>
          <w:szCs w:val="20"/>
          <w:lang w:val="en-US"/>
        </w:rPr>
        <w:t>.</w:t>
      </w:r>
    </w:p>
    <w:p w14:paraId="43614E65"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Wicks, Andrew C., and Edward Freeman.</w:t>
      </w:r>
      <w:r w:rsidRPr="005662D8">
        <w:rPr>
          <w:sz w:val="20"/>
          <w:szCs w:val="20"/>
          <w:lang w:val="en-US"/>
        </w:rPr>
        <w:t xml:space="preserve"> 1998. “Organization Studies and the New Pragmatism: Positivism, Anti-Positivism, and the Search for Ethics.” </w:t>
      </w:r>
      <w:r w:rsidRPr="005662D8">
        <w:rPr>
          <w:rStyle w:val="Enfasicorsivo"/>
          <w:sz w:val="20"/>
          <w:szCs w:val="20"/>
          <w:lang w:val="en-US"/>
        </w:rPr>
        <w:t>Organization Science</w:t>
      </w:r>
      <w:r w:rsidRPr="005662D8">
        <w:rPr>
          <w:sz w:val="20"/>
          <w:szCs w:val="20"/>
          <w:lang w:val="en-US"/>
        </w:rPr>
        <w:t xml:space="preserve"> 9 (2): 123–40. </w:t>
      </w:r>
      <w:hyperlink r:id="rId263" w:history="1">
        <w:r w:rsidRPr="005662D8">
          <w:rPr>
            <w:rStyle w:val="Collegamentoipertestuale"/>
            <w:sz w:val="20"/>
            <w:szCs w:val="20"/>
            <w:lang w:val="en-US"/>
          </w:rPr>
          <w:t>https://doi.org/10.1287/orsc.9.2.123</w:t>
        </w:r>
      </w:hyperlink>
      <w:r w:rsidRPr="005662D8">
        <w:rPr>
          <w:sz w:val="20"/>
          <w:szCs w:val="20"/>
          <w:lang w:val="en-US"/>
        </w:rPr>
        <w:t>.</w:t>
      </w:r>
    </w:p>
    <w:p w14:paraId="07094C9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Wicks, Andrew C., and Edward Freeman. 1998.</w:t>
      </w:r>
      <w:r w:rsidRPr="005662D8">
        <w:rPr>
          <w:sz w:val="20"/>
          <w:szCs w:val="20"/>
          <w:lang w:val="en-US"/>
        </w:rPr>
        <w:t xml:space="preserve"> “Organization Studies and the New Pragmatism.” </w:t>
      </w:r>
      <w:r w:rsidRPr="005662D8">
        <w:rPr>
          <w:rStyle w:val="Enfasicorsivo"/>
          <w:sz w:val="20"/>
          <w:szCs w:val="20"/>
          <w:lang w:val="en-US"/>
        </w:rPr>
        <w:t>Organization Science</w:t>
      </w:r>
      <w:r w:rsidRPr="005662D8">
        <w:rPr>
          <w:sz w:val="20"/>
          <w:szCs w:val="20"/>
          <w:lang w:val="en-US"/>
        </w:rPr>
        <w:t xml:space="preserve"> 9 (2): 123–40.</w:t>
      </w:r>
    </w:p>
    <w:p w14:paraId="0ACCE74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Wijermars, Mariëlle.</w:t>
      </w:r>
      <w:r w:rsidRPr="005662D8">
        <w:rPr>
          <w:sz w:val="20"/>
          <w:szCs w:val="20"/>
          <w:lang w:val="en-US"/>
        </w:rPr>
        <w:t xml:space="preserve"> 2018. </w:t>
      </w:r>
      <w:r w:rsidRPr="005662D8">
        <w:rPr>
          <w:rStyle w:val="Enfasicorsivo"/>
          <w:sz w:val="20"/>
          <w:szCs w:val="20"/>
          <w:lang w:val="en-US"/>
        </w:rPr>
        <w:t>Memory Politics in Contemporary Russia.</w:t>
      </w:r>
      <w:r w:rsidRPr="005662D8">
        <w:rPr>
          <w:sz w:val="20"/>
          <w:szCs w:val="20"/>
          <w:lang w:val="en-US"/>
        </w:rPr>
        <w:t xml:space="preserve"> London, United Kingdom: Routledge.</w:t>
      </w:r>
    </w:p>
    <w:p w14:paraId="71D2144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Winter, Jay.</w:t>
      </w:r>
      <w:r w:rsidRPr="005662D8">
        <w:rPr>
          <w:sz w:val="20"/>
          <w:szCs w:val="20"/>
          <w:lang w:val="en-US"/>
        </w:rPr>
        <w:t xml:space="preserve"> 2001. “The Generation of Memory: Reflections on the ‘Memory Boom’ in Contemporary Historical Studies.” </w:t>
      </w:r>
      <w:r w:rsidRPr="005662D8">
        <w:rPr>
          <w:rStyle w:val="Enfasicorsivo"/>
          <w:sz w:val="20"/>
          <w:szCs w:val="20"/>
          <w:lang w:val="en-US"/>
        </w:rPr>
        <w:t>Canadian Military History</w:t>
      </w:r>
      <w:r w:rsidRPr="005662D8">
        <w:rPr>
          <w:sz w:val="20"/>
          <w:szCs w:val="20"/>
          <w:lang w:val="en-US"/>
        </w:rPr>
        <w:t xml:space="preserve"> 10 (3): 57–66.</w:t>
      </w:r>
    </w:p>
    <w:p w14:paraId="2361583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Wodak, Ruth.</w:t>
      </w:r>
      <w:r w:rsidRPr="005662D8">
        <w:rPr>
          <w:sz w:val="20"/>
          <w:szCs w:val="20"/>
          <w:lang w:val="en-US"/>
        </w:rPr>
        <w:t xml:space="preserve"> 2002. </w:t>
      </w:r>
      <w:r w:rsidRPr="005662D8">
        <w:rPr>
          <w:rStyle w:val="Enfasicorsivo"/>
          <w:sz w:val="20"/>
          <w:szCs w:val="20"/>
          <w:lang w:val="en-US"/>
        </w:rPr>
        <w:t>Methods of Critical Discourse Analysis.</w:t>
      </w:r>
      <w:r w:rsidRPr="005662D8">
        <w:rPr>
          <w:sz w:val="20"/>
          <w:szCs w:val="20"/>
          <w:lang w:val="en-US"/>
        </w:rPr>
        <w:t xml:space="preserve"> London, United Kingdom: Sage.</w:t>
      </w:r>
    </w:p>
    <w:p w14:paraId="6882F1A7"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Wohlforth, William C.</w:t>
      </w:r>
      <w:r w:rsidRPr="005662D8">
        <w:rPr>
          <w:sz w:val="20"/>
          <w:szCs w:val="20"/>
          <w:lang w:val="en-US"/>
        </w:rPr>
        <w:t xml:space="preserve"> 2009a. “Unipolarity, Status Competition, and Great Power War.” </w:t>
      </w:r>
      <w:r w:rsidRPr="005662D8">
        <w:rPr>
          <w:rStyle w:val="Enfasicorsivo"/>
          <w:sz w:val="20"/>
          <w:szCs w:val="20"/>
          <w:lang w:val="en-US"/>
        </w:rPr>
        <w:t>World Politics</w:t>
      </w:r>
      <w:r w:rsidRPr="005662D8">
        <w:rPr>
          <w:sz w:val="20"/>
          <w:szCs w:val="20"/>
          <w:lang w:val="en-US"/>
        </w:rPr>
        <w:t xml:space="preserve"> 61 (1): 28–57. </w:t>
      </w:r>
      <w:hyperlink r:id="rId264" w:history="1">
        <w:r w:rsidRPr="005662D8">
          <w:rPr>
            <w:rStyle w:val="Collegamentoipertestuale"/>
            <w:sz w:val="20"/>
            <w:szCs w:val="20"/>
            <w:lang w:val="en-US"/>
          </w:rPr>
          <w:t>https://doi.org/10.1017/S0043887109000021</w:t>
        </w:r>
      </w:hyperlink>
      <w:r w:rsidRPr="005662D8">
        <w:rPr>
          <w:sz w:val="20"/>
          <w:szCs w:val="20"/>
          <w:lang w:val="en-US"/>
        </w:rPr>
        <w:t>.</w:t>
      </w:r>
    </w:p>
    <w:p w14:paraId="027D772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Wolf, Reinhard.</w:t>
      </w:r>
      <w:r w:rsidRPr="005662D8">
        <w:rPr>
          <w:sz w:val="20"/>
          <w:szCs w:val="20"/>
          <w:lang w:val="en-US"/>
        </w:rPr>
        <w:t xml:space="preserve"> 2011. “Respect and Disrespect in International Politics: The Significance of Status Recognition.” </w:t>
      </w:r>
      <w:r w:rsidRPr="005662D8">
        <w:rPr>
          <w:rStyle w:val="Enfasicorsivo"/>
          <w:sz w:val="20"/>
          <w:szCs w:val="20"/>
          <w:lang w:val="en-US"/>
        </w:rPr>
        <w:t>International Theory</w:t>
      </w:r>
      <w:r w:rsidRPr="005662D8">
        <w:rPr>
          <w:sz w:val="20"/>
          <w:szCs w:val="20"/>
          <w:lang w:val="en-US"/>
        </w:rPr>
        <w:t xml:space="preserve"> 3 (1): 105–42. </w:t>
      </w:r>
      <w:hyperlink r:id="rId265" w:history="1">
        <w:r w:rsidRPr="005662D8">
          <w:rPr>
            <w:rStyle w:val="Collegamentoipertestuale"/>
            <w:sz w:val="20"/>
            <w:szCs w:val="20"/>
            <w:lang w:val="en-US"/>
          </w:rPr>
          <w:t>https://doi.org/10.1017/S1752971910000308</w:t>
        </w:r>
      </w:hyperlink>
      <w:r w:rsidRPr="005662D8">
        <w:rPr>
          <w:sz w:val="20"/>
          <w:szCs w:val="20"/>
          <w:lang w:val="en-US"/>
        </w:rPr>
        <w:t>.</w:t>
      </w:r>
    </w:p>
    <w:p w14:paraId="2251B53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Wolf, Reinhard. 2019.</w:t>
      </w:r>
      <w:r w:rsidRPr="005662D8">
        <w:rPr>
          <w:sz w:val="20"/>
          <w:szCs w:val="20"/>
          <w:lang w:val="en-US"/>
        </w:rPr>
        <w:t xml:space="preserve"> “Taking Interaction Seriously: Asymmetrical Roles and the Behavioral Foundations of Status.” </w:t>
      </w:r>
      <w:r w:rsidRPr="005662D8">
        <w:rPr>
          <w:rStyle w:val="Enfasicorsivo"/>
          <w:sz w:val="20"/>
          <w:szCs w:val="20"/>
          <w:lang w:val="en-US"/>
        </w:rPr>
        <w:t>European Journal of International Relations</w:t>
      </w:r>
      <w:r w:rsidRPr="005662D8">
        <w:rPr>
          <w:sz w:val="20"/>
          <w:szCs w:val="20"/>
          <w:lang w:val="en-US"/>
        </w:rPr>
        <w:t xml:space="preserve"> 25 (4): 1186–1211. doi:10.1177/1354066119837338.</w:t>
      </w:r>
    </w:p>
    <w:p w14:paraId="33A1DDD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Wyatt-Brown, Bertram. 2007.</w:t>
      </w:r>
      <w:r w:rsidRPr="005662D8">
        <w:rPr>
          <w:sz w:val="20"/>
          <w:szCs w:val="20"/>
          <w:lang w:val="en-US"/>
        </w:rPr>
        <w:t xml:space="preserve"> </w:t>
      </w:r>
      <w:r w:rsidRPr="005662D8">
        <w:rPr>
          <w:rStyle w:val="Enfasicorsivo"/>
          <w:sz w:val="20"/>
          <w:szCs w:val="20"/>
          <w:lang w:val="en-US"/>
        </w:rPr>
        <w:t>Southern Honor: Ethics and Behavior in the Old South.</w:t>
      </w:r>
      <w:r w:rsidRPr="005662D8">
        <w:rPr>
          <w:sz w:val="20"/>
          <w:szCs w:val="20"/>
          <w:lang w:val="en-US"/>
        </w:rPr>
        <w:t xml:space="preserve"> Oxford, United Kingdom: Oxford University Press.</w:t>
      </w:r>
    </w:p>
    <w:p w14:paraId="63C8704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Yanık, Lerna, and Fulya Hisarlıoğlu.</w:t>
      </w:r>
      <w:r w:rsidRPr="005662D8">
        <w:rPr>
          <w:sz w:val="20"/>
          <w:szCs w:val="20"/>
          <w:lang w:val="en-US"/>
        </w:rPr>
        <w:t xml:space="preserve"> 2019. “‘They Wrote History with Their Bodies’: Necrogeopolitics, Necropolitical Spaces and the Everyday Spatial Politics of Death in Turkey.” In </w:t>
      </w:r>
      <w:r w:rsidRPr="005662D8">
        <w:rPr>
          <w:rStyle w:val="Enfasicorsivo"/>
          <w:sz w:val="20"/>
          <w:szCs w:val="20"/>
          <w:lang w:val="en-US"/>
        </w:rPr>
        <w:t>Turkey’s Necropolitical Laboratory: Democracy, Violence and Resistance,</w:t>
      </w:r>
      <w:r w:rsidRPr="005662D8">
        <w:rPr>
          <w:sz w:val="20"/>
          <w:szCs w:val="20"/>
          <w:lang w:val="en-US"/>
        </w:rPr>
        <w:t xml:space="preserve"> 46–70. Edinburgh, United Kingdom: Edinburgh University Press.</w:t>
      </w:r>
    </w:p>
    <w:p w14:paraId="1B8902BB"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Yanık, Lerna, and Fulya Hisarlıoğlu. 2019.</w:t>
      </w:r>
      <w:r w:rsidRPr="005662D8">
        <w:rPr>
          <w:sz w:val="20"/>
          <w:szCs w:val="20"/>
          <w:lang w:val="en-US"/>
        </w:rPr>
        <w:t xml:space="preserve"> “‘They Wrote History with Their Bodies.’” In </w:t>
      </w:r>
      <w:r w:rsidRPr="005662D8">
        <w:rPr>
          <w:rStyle w:val="Enfasicorsivo"/>
          <w:sz w:val="20"/>
          <w:szCs w:val="20"/>
          <w:lang w:val="en-US"/>
        </w:rPr>
        <w:t>Turkey’s Necropolitical Laboratory</w:t>
      </w:r>
      <w:r w:rsidRPr="005662D8">
        <w:rPr>
          <w:sz w:val="20"/>
          <w:szCs w:val="20"/>
          <w:lang w:val="en-US"/>
        </w:rPr>
        <w:t>, 46–70. Edinburgh, United Kingdom: EUP.</w:t>
      </w:r>
    </w:p>
    <w:p w14:paraId="723A81B8"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Yanow, Dvora.</w:t>
      </w:r>
      <w:r w:rsidRPr="005662D8">
        <w:rPr>
          <w:sz w:val="20"/>
          <w:szCs w:val="20"/>
          <w:lang w:val="en-US"/>
        </w:rPr>
        <w:t xml:space="preserve"> 2014. “Interpretive Analysis and Comparative Research.” In </w:t>
      </w:r>
      <w:r w:rsidRPr="005662D8">
        <w:rPr>
          <w:rStyle w:val="Enfasicorsivo"/>
          <w:sz w:val="20"/>
          <w:szCs w:val="20"/>
          <w:lang w:val="en-US"/>
        </w:rPr>
        <w:t>Comparative Policy Studies,</w:t>
      </w:r>
      <w:r w:rsidRPr="005662D8">
        <w:rPr>
          <w:sz w:val="20"/>
          <w:szCs w:val="20"/>
          <w:lang w:val="en-US"/>
        </w:rPr>
        <w:t xml:space="preserve"> 131–59. London, United Kingdom: Palgrave Macmillan.</w:t>
      </w:r>
    </w:p>
    <w:p w14:paraId="498F5C1D"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Yin, Robert K.</w:t>
      </w:r>
      <w:r w:rsidRPr="005662D8">
        <w:rPr>
          <w:sz w:val="20"/>
          <w:szCs w:val="20"/>
          <w:lang w:val="en-US"/>
        </w:rPr>
        <w:t xml:space="preserve"> 1994. </w:t>
      </w:r>
      <w:r w:rsidRPr="005662D8">
        <w:rPr>
          <w:rStyle w:val="Enfasicorsivo"/>
          <w:sz w:val="20"/>
          <w:szCs w:val="20"/>
          <w:lang w:val="en-US"/>
        </w:rPr>
        <w:t>Case Study Research: Design and Methods.</w:t>
      </w:r>
      <w:r w:rsidRPr="005662D8">
        <w:rPr>
          <w:sz w:val="20"/>
          <w:szCs w:val="20"/>
          <w:lang w:val="en-US"/>
        </w:rPr>
        <w:t xml:space="preserve"> London, United Kingdom: Sage.</w:t>
      </w:r>
    </w:p>
    <w:p w14:paraId="1BCDB082"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Ylönen, Marja, and Terje Aven.</w:t>
      </w:r>
      <w:r w:rsidRPr="005662D8">
        <w:rPr>
          <w:sz w:val="20"/>
          <w:szCs w:val="20"/>
          <w:lang w:val="en-US"/>
        </w:rPr>
        <w:t xml:space="preserve"> 2023. “A Framework for Understanding Risk Based on the Concepts of Ontology and Epistemology.” </w:t>
      </w:r>
      <w:r w:rsidRPr="005662D8">
        <w:rPr>
          <w:rStyle w:val="Enfasicorsivo"/>
          <w:sz w:val="20"/>
          <w:szCs w:val="20"/>
          <w:lang w:val="en-US"/>
        </w:rPr>
        <w:t>Journal of Risk Research</w:t>
      </w:r>
      <w:r w:rsidRPr="005662D8">
        <w:rPr>
          <w:sz w:val="20"/>
          <w:szCs w:val="20"/>
          <w:lang w:val="en-US"/>
        </w:rPr>
        <w:t xml:space="preserve"> 26 (6): 581–93. </w:t>
      </w:r>
      <w:hyperlink r:id="rId266" w:tgtFrame="_new" w:history="1">
        <w:r w:rsidRPr="005662D8">
          <w:rPr>
            <w:rStyle w:val="Collegamentoipertestuale"/>
            <w:sz w:val="20"/>
            <w:szCs w:val="20"/>
            <w:lang w:val="en-US"/>
          </w:rPr>
          <w:t>https://doi.org/10.1080/13669877.2023.2194892</w:t>
        </w:r>
      </w:hyperlink>
      <w:r w:rsidRPr="005662D8">
        <w:rPr>
          <w:sz w:val="20"/>
          <w:szCs w:val="20"/>
          <w:lang w:val="en-US"/>
        </w:rPr>
        <w:t>.</w:t>
      </w:r>
    </w:p>
    <w:p w14:paraId="53064C4D" w14:textId="47806BAA" w:rsidR="00EF0AAE" w:rsidRDefault="00CA7E2D" w:rsidP="00EF0AAE">
      <w:pPr>
        <w:pStyle w:val="NormaleWeb"/>
        <w:spacing w:line="240" w:lineRule="auto"/>
        <w:rPr>
          <w:sz w:val="20"/>
          <w:szCs w:val="20"/>
          <w:lang w:val="en-US"/>
        </w:rPr>
      </w:pPr>
      <w:r>
        <w:rPr>
          <w:sz w:val="20"/>
          <w:szCs w:val="20"/>
          <w:lang w:val="en-US"/>
        </w:rPr>
        <w:t xml:space="preserve">Zanatta, Leonardo. 2024. </w:t>
      </w:r>
      <w:r w:rsidRPr="00CA7E2D">
        <w:rPr>
          <w:sz w:val="20"/>
          <w:szCs w:val="20"/>
          <w:lang w:val="en-US"/>
        </w:rPr>
        <w:t xml:space="preserve">“Borderlines or Battlelines? Armenia’s Divide over the Demarcation Process.” </w:t>
      </w:r>
      <w:r>
        <w:rPr>
          <w:i/>
          <w:sz w:val="20"/>
          <w:szCs w:val="20"/>
          <w:lang w:val="en-US"/>
        </w:rPr>
        <w:t>TEFI,</w:t>
      </w:r>
      <w:r w:rsidRPr="00CA7E2D">
        <w:rPr>
          <w:sz w:val="20"/>
          <w:szCs w:val="20"/>
          <w:lang w:val="en-US"/>
        </w:rPr>
        <w:t>. May 25.</w:t>
      </w:r>
      <w:r w:rsidR="00EF0AAE">
        <w:rPr>
          <w:sz w:val="20"/>
          <w:szCs w:val="20"/>
          <w:lang w:val="en-US"/>
        </w:rPr>
        <w:t xml:space="preserve"> </w:t>
      </w:r>
      <w:hyperlink r:id="rId267" w:history="1">
        <w:r w:rsidR="00EF0AAE" w:rsidRPr="00F3725E">
          <w:rPr>
            <w:rStyle w:val="Collegamentoipertestuale"/>
            <w:sz w:val="20"/>
            <w:szCs w:val="20"/>
            <w:lang w:val="en-US"/>
          </w:rPr>
          <w:t>https://easternfrontier.eu/eastern-frontier/7,193611,31003989,borderlines-or-battlelines-armenia-s-divide-over-the-demarcation.html?disableRedirects=true</w:t>
        </w:r>
      </w:hyperlink>
      <w:r w:rsidRPr="00CA7E2D">
        <w:rPr>
          <w:sz w:val="20"/>
          <w:szCs w:val="20"/>
          <w:lang w:val="en-US"/>
        </w:rPr>
        <w:t>.</w:t>
      </w:r>
    </w:p>
    <w:p w14:paraId="3CF93B40" w14:textId="51E9AAE2" w:rsidR="00E9035E" w:rsidRPr="005662D8" w:rsidRDefault="00E9035E" w:rsidP="005662D8">
      <w:pPr>
        <w:pStyle w:val="NormaleWeb"/>
        <w:spacing w:line="240" w:lineRule="auto"/>
        <w:rPr>
          <w:sz w:val="20"/>
          <w:szCs w:val="20"/>
          <w:lang w:val="en-US"/>
        </w:rPr>
      </w:pPr>
      <w:r w:rsidRPr="005662D8">
        <w:rPr>
          <w:sz w:val="20"/>
          <w:szCs w:val="20"/>
          <w:lang w:val="en-US"/>
        </w:rPr>
        <w:t xml:space="preserve">Zanatta, Leonardo. 2025. “In Armenia, the Future Hangs Between History and Reality.” </w:t>
      </w:r>
      <w:r w:rsidRPr="005662D8">
        <w:rPr>
          <w:rStyle w:val="Enfasicorsivo"/>
          <w:sz w:val="20"/>
          <w:szCs w:val="20"/>
          <w:lang w:val="en-US"/>
        </w:rPr>
        <w:t>RAAM</w:t>
      </w:r>
      <w:r w:rsidRPr="005662D8">
        <w:rPr>
          <w:sz w:val="20"/>
          <w:szCs w:val="20"/>
          <w:lang w:val="en-US"/>
        </w:rPr>
        <w:t xml:space="preserve">, July 7. </w:t>
      </w:r>
      <w:hyperlink r:id="rId268" w:tgtFrame="_new" w:history="1">
        <w:r w:rsidRPr="005662D8">
          <w:rPr>
            <w:rStyle w:val="Collegamentoipertestuale"/>
            <w:sz w:val="20"/>
            <w:szCs w:val="20"/>
            <w:lang w:val="en-US"/>
          </w:rPr>
          <w:t>https://platformraam.nl/artikelen/2850-in-armenia-the-future-hangs-between-history-and-reality</w:t>
        </w:r>
      </w:hyperlink>
    </w:p>
    <w:p w14:paraId="4062DFCA"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Zarakol, Ayşe.</w:t>
      </w:r>
      <w:r w:rsidRPr="005662D8">
        <w:rPr>
          <w:sz w:val="20"/>
          <w:szCs w:val="20"/>
          <w:lang w:val="en-US"/>
        </w:rPr>
        <w:t xml:space="preserve"> 2010. “Ontological (In)Security and State Denial of Historical Crimes: Turkey and Japan.” </w:t>
      </w:r>
      <w:r w:rsidRPr="005662D8">
        <w:rPr>
          <w:rStyle w:val="Enfasicorsivo"/>
          <w:sz w:val="20"/>
          <w:szCs w:val="20"/>
          <w:lang w:val="en-US"/>
        </w:rPr>
        <w:t>International Relations</w:t>
      </w:r>
      <w:r w:rsidRPr="005662D8">
        <w:rPr>
          <w:sz w:val="20"/>
          <w:szCs w:val="20"/>
          <w:lang w:val="en-US"/>
        </w:rPr>
        <w:t xml:space="preserve"> 24 (1): 3–23. </w:t>
      </w:r>
      <w:hyperlink r:id="rId269" w:history="1">
        <w:r w:rsidRPr="005662D8">
          <w:rPr>
            <w:rStyle w:val="Collegamentoipertestuale"/>
            <w:sz w:val="20"/>
            <w:szCs w:val="20"/>
            <w:lang w:val="en-US"/>
          </w:rPr>
          <w:t>https://doi.org/10.1177/0047117809359040</w:t>
        </w:r>
      </w:hyperlink>
      <w:r w:rsidRPr="005662D8">
        <w:rPr>
          <w:sz w:val="20"/>
          <w:szCs w:val="20"/>
          <w:lang w:val="en-US"/>
        </w:rPr>
        <w:t>.</w:t>
      </w:r>
    </w:p>
    <w:p w14:paraId="2C30248C"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Zerubavel, Eviatar. 2003.</w:t>
      </w:r>
      <w:r w:rsidRPr="005662D8">
        <w:rPr>
          <w:sz w:val="20"/>
          <w:szCs w:val="20"/>
          <w:lang w:val="en-US"/>
        </w:rPr>
        <w:t xml:space="preserve"> </w:t>
      </w:r>
      <w:r w:rsidRPr="005662D8">
        <w:rPr>
          <w:rStyle w:val="Enfasicorsivo"/>
          <w:sz w:val="20"/>
          <w:szCs w:val="20"/>
          <w:lang w:val="en-US"/>
        </w:rPr>
        <w:t>Time Maps: Collective Memory and the Social Shape of the Past.</w:t>
      </w:r>
      <w:r w:rsidRPr="005662D8">
        <w:rPr>
          <w:sz w:val="20"/>
          <w:szCs w:val="20"/>
          <w:lang w:val="en-US"/>
        </w:rPr>
        <w:t xml:space="preserve"> Chicago, United States: University of Chicago Press.</w:t>
      </w:r>
    </w:p>
    <w:p w14:paraId="4DF6D25F" w14:textId="77777777" w:rsidR="00E9035E" w:rsidRPr="005662D8" w:rsidRDefault="00E9035E" w:rsidP="005662D8">
      <w:pPr>
        <w:pStyle w:val="NormaleWeb"/>
        <w:spacing w:line="240" w:lineRule="auto"/>
        <w:rPr>
          <w:sz w:val="20"/>
          <w:szCs w:val="20"/>
          <w:lang w:val="en-US"/>
        </w:rPr>
      </w:pPr>
      <w:r w:rsidRPr="005662D8">
        <w:rPr>
          <w:rStyle w:val="Enfasigrassetto"/>
          <w:b w:val="0"/>
          <w:sz w:val="20"/>
          <w:szCs w:val="20"/>
          <w:lang w:val="en-US"/>
        </w:rPr>
        <w:t>Ziemer, Ulrike. 2010.</w:t>
      </w:r>
      <w:r w:rsidRPr="005662D8">
        <w:rPr>
          <w:sz w:val="20"/>
          <w:szCs w:val="20"/>
          <w:lang w:val="en-US"/>
        </w:rPr>
        <w:t xml:space="preserve"> “Belonging and Longing...” </w:t>
      </w:r>
      <w:r w:rsidRPr="005662D8">
        <w:rPr>
          <w:rStyle w:val="Enfasicorsivo"/>
          <w:sz w:val="20"/>
          <w:szCs w:val="20"/>
          <w:lang w:val="en-US"/>
        </w:rPr>
        <w:t>Studies in Ethnicity and Nationalism</w:t>
      </w:r>
      <w:r w:rsidRPr="005662D8">
        <w:rPr>
          <w:sz w:val="20"/>
          <w:szCs w:val="20"/>
          <w:lang w:val="en-US"/>
        </w:rPr>
        <w:t xml:space="preserve"> 10 (2): 290–303.</w:t>
      </w:r>
    </w:p>
    <w:p w14:paraId="10F1533E" w14:textId="2F60D2BD" w:rsidR="00E9035E" w:rsidRDefault="00E9035E" w:rsidP="005662D8">
      <w:pPr>
        <w:pStyle w:val="NormaleWeb"/>
        <w:spacing w:line="240" w:lineRule="auto"/>
        <w:rPr>
          <w:sz w:val="20"/>
          <w:szCs w:val="20"/>
        </w:rPr>
      </w:pPr>
      <w:r w:rsidRPr="005662D8">
        <w:rPr>
          <w:rStyle w:val="Enfasigrassetto"/>
          <w:b w:val="0"/>
          <w:sz w:val="20"/>
          <w:szCs w:val="20"/>
          <w:lang w:val="en-US"/>
        </w:rPr>
        <w:t>Ziemer, Ulrike. 2016.</w:t>
      </w:r>
      <w:r w:rsidRPr="005662D8">
        <w:rPr>
          <w:sz w:val="20"/>
          <w:szCs w:val="20"/>
          <w:lang w:val="en-US"/>
        </w:rPr>
        <w:t xml:space="preserve"> “Unsettled Identity Negotiations...” In </w:t>
      </w:r>
      <w:r w:rsidRPr="005662D8">
        <w:rPr>
          <w:rStyle w:val="Enfasicorsivo"/>
          <w:sz w:val="20"/>
          <w:szCs w:val="20"/>
          <w:lang w:val="en-US"/>
        </w:rPr>
        <w:t>Armenians in Post-Socialist Europe</w:t>
      </w:r>
      <w:r w:rsidRPr="005662D8">
        <w:rPr>
          <w:sz w:val="20"/>
          <w:szCs w:val="20"/>
          <w:lang w:val="en-US"/>
        </w:rPr>
        <w:t xml:space="preserve">, 1–22. </w:t>
      </w:r>
      <w:r w:rsidRPr="005662D8">
        <w:rPr>
          <w:sz w:val="20"/>
          <w:szCs w:val="20"/>
        </w:rPr>
        <w:t>Amsterdam: Böhlau.</w:t>
      </w:r>
    </w:p>
    <w:p w14:paraId="2F2278A6" w14:textId="77777777" w:rsidR="00B2423C" w:rsidRDefault="00B2423C" w:rsidP="00B2423C">
      <w:pPr>
        <w:pStyle w:val="NormaleWeb"/>
        <w:spacing w:line="240" w:lineRule="auto"/>
        <w:ind w:firstLine="0"/>
        <w:rPr>
          <w:sz w:val="20"/>
          <w:szCs w:val="20"/>
        </w:rPr>
        <w:sectPr w:rsidR="00B2423C" w:rsidSect="00853612">
          <w:pgSz w:w="11910" w:h="16840"/>
          <w:pgMar w:top="1038" w:right="425" w:bottom="958" w:left="1418" w:header="0" w:footer="777" w:gutter="0"/>
          <w:cols w:space="720"/>
        </w:sectPr>
      </w:pPr>
    </w:p>
    <w:p w14:paraId="5A204CC9" w14:textId="17295C5C" w:rsidR="00B14AC7" w:rsidRDefault="00B2423C" w:rsidP="00B2423C">
      <w:pPr>
        <w:pStyle w:val="Titolo1"/>
      </w:pPr>
      <w:bookmarkStart w:id="86" w:name="_Toc215742695"/>
      <w:bookmarkStart w:id="87" w:name="_GoBack"/>
      <w:bookmarkEnd w:id="87"/>
      <w:r>
        <w:t>9. Supplementary Documents: ANNEX</w:t>
      </w:r>
      <w:bookmarkEnd w:id="86"/>
    </w:p>
    <w:tbl>
      <w:tblPr>
        <w:tblStyle w:val="Grigliatabellachiara"/>
        <w:tblW w:w="15588" w:type="dxa"/>
        <w:jc w:val="center"/>
        <w:tblLook w:val="06A0" w:firstRow="1" w:lastRow="0" w:firstColumn="1" w:lastColumn="0" w:noHBand="1" w:noVBand="1"/>
      </w:tblPr>
      <w:tblGrid>
        <w:gridCol w:w="639"/>
        <w:gridCol w:w="1572"/>
        <w:gridCol w:w="1350"/>
        <w:gridCol w:w="1690"/>
        <w:gridCol w:w="10337"/>
      </w:tblGrid>
      <w:tr w:rsidR="00A2019B" w:rsidRPr="00A2019B" w14:paraId="264BD530" w14:textId="77777777" w:rsidTr="00A2019B">
        <w:trPr>
          <w:trHeight w:val="558"/>
          <w:jc w:val="center"/>
        </w:trPr>
        <w:tc>
          <w:tcPr>
            <w:tcW w:w="639" w:type="dxa"/>
          </w:tcPr>
          <w:p w14:paraId="0143293C" w14:textId="77777777" w:rsidR="00B2423C" w:rsidRPr="00A2019B" w:rsidRDefault="00B2423C" w:rsidP="00EB2D0C">
            <w:pPr>
              <w:ind w:firstLine="0"/>
              <w:jc w:val="center"/>
              <w:rPr>
                <w:b/>
                <w:sz w:val="20"/>
                <w:szCs w:val="20"/>
              </w:rPr>
            </w:pPr>
            <w:r w:rsidRPr="00A2019B">
              <w:rPr>
                <w:b/>
                <w:sz w:val="20"/>
                <w:szCs w:val="20"/>
              </w:rPr>
              <w:t>Year</w:t>
            </w:r>
          </w:p>
        </w:tc>
        <w:tc>
          <w:tcPr>
            <w:tcW w:w="1572" w:type="dxa"/>
          </w:tcPr>
          <w:p w14:paraId="08919A2C" w14:textId="77777777" w:rsidR="00B2423C" w:rsidRPr="00A2019B" w:rsidRDefault="00B2423C" w:rsidP="00EB2D0C">
            <w:pPr>
              <w:ind w:firstLine="0"/>
              <w:jc w:val="center"/>
              <w:rPr>
                <w:b/>
                <w:sz w:val="20"/>
                <w:szCs w:val="20"/>
              </w:rPr>
            </w:pPr>
            <w:r w:rsidRPr="00A2019B">
              <w:rPr>
                <w:b/>
                <w:sz w:val="20"/>
                <w:szCs w:val="20"/>
              </w:rPr>
              <w:t>Author</w:t>
            </w:r>
          </w:p>
        </w:tc>
        <w:tc>
          <w:tcPr>
            <w:tcW w:w="1350" w:type="dxa"/>
          </w:tcPr>
          <w:p w14:paraId="54D44660" w14:textId="77777777" w:rsidR="00B2423C" w:rsidRPr="00A2019B" w:rsidRDefault="00B2423C" w:rsidP="00EB2D0C">
            <w:pPr>
              <w:ind w:firstLine="0"/>
              <w:jc w:val="center"/>
              <w:rPr>
                <w:b/>
                <w:sz w:val="20"/>
                <w:szCs w:val="20"/>
              </w:rPr>
            </w:pPr>
            <w:r w:rsidRPr="00A2019B">
              <w:rPr>
                <w:b/>
                <w:sz w:val="20"/>
                <w:szCs w:val="20"/>
              </w:rPr>
              <w:t>Actor Type</w:t>
            </w:r>
          </w:p>
        </w:tc>
        <w:tc>
          <w:tcPr>
            <w:tcW w:w="1690" w:type="dxa"/>
          </w:tcPr>
          <w:p w14:paraId="6E9CC5A6" w14:textId="77777777" w:rsidR="00B2423C" w:rsidRPr="00A2019B" w:rsidRDefault="00B2423C" w:rsidP="00EB2D0C">
            <w:pPr>
              <w:ind w:firstLine="0"/>
              <w:jc w:val="center"/>
              <w:rPr>
                <w:b/>
                <w:sz w:val="20"/>
                <w:szCs w:val="20"/>
              </w:rPr>
            </w:pPr>
            <w:r w:rsidRPr="00A2019B">
              <w:rPr>
                <w:b/>
                <w:sz w:val="20"/>
                <w:szCs w:val="20"/>
              </w:rPr>
              <w:t>Source Type</w:t>
            </w:r>
          </w:p>
        </w:tc>
        <w:tc>
          <w:tcPr>
            <w:tcW w:w="10337" w:type="dxa"/>
          </w:tcPr>
          <w:p w14:paraId="0F5761B3" w14:textId="77777777" w:rsidR="00B2423C" w:rsidRPr="00A2019B" w:rsidRDefault="00B2423C" w:rsidP="00A2019B">
            <w:pPr>
              <w:jc w:val="center"/>
              <w:rPr>
                <w:b/>
                <w:sz w:val="20"/>
                <w:szCs w:val="20"/>
              </w:rPr>
            </w:pPr>
            <w:r w:rsidRPr="00A2019B">
              <w:rPr>
                <w:b/>
                <w:sz w:val="20"/>
                <w:szCs w:val="20"/>
              </w:rPr>
              <w:t>Text</w:t>
            </w:r>
          </w:p>
        </w:tc>
      </w:tr>
      <w:tr w:rsidR="00A2019B" w:rsidRPr="00A2019B" w14:paraId="4D3821EE" w14:textId="77777777" w:rsidTr="00A2019B">
        <w:trPr>
          <w:trHeight w:val="300"/>
          <w:jc w:val="center"/>
        </w:trPr>
        <w:tc>
          <w:tcPr>
            <w:tcW w:w="639" w:type="dxa"/>
          </w:tcPr>
          <w:p w14:paraId="463E5F04" w14:textId="77777777" w:rsidR="00B2423C" w:rsidRPr="00A2019B" w:rsidRDefault="00B2423C" w:rsidP="00EB2D0C">
            <w:pPr>
              <w:ind w:firstLine="0"/>
              <w:jc w:val="center"/>
              <w:rPr>
                <w:b/>
                <w:sz w:val="14"/>
                <w:szCs w:val="14"/>
              </w:rPr>
            </w:pPr>
            <w:r w:rsidRPr="00A2019B">
              <w:rPr>
                <w:b/>
                <w:sz w:val="14"/>
                <w:szCs w:val="14"/>
              </w:rPr>
              <w:t>2013</w:t>
            </w:r>
          </w:p>
        </w:tc>
        <w:tc>
          <w:tcPr>
            <w:tcW w:w="1572" w:type="dxa"/>
          </w:tcPr>
          <w:p w14:paraId="61CFE85B" w14:textId="28E4A0E4" w:rsidR="00B2423C" w:rsidRPr="00A2019B" w:rsidRDefault="00B2423C" w:rsidP="00EB2D0C">
            <w:pPr>
              <w:ind w:firstLine="0"/>
              <w:jc w:val="center"/>
              <w:rPr>
                <w:b/>
                <w:sz w:val="14"/>
                <w:szCs w:val="14"/>
              </w:rPr>
            </w:pPr>
            <w:r w:rsidRPr="00A2019B">
              <w:rPr>
                <w:b/>
                <w:sz w:val="14"/>
                <w:szCs w:val="14"/>
              </w:rPr>
              <w:t>Vladimir</w:t>
            </w:r>
            <w:r w:rsidR="00C94038">
              <w:rPr>
                <w:b/>
                <w:sz w:val="14"/>
                <w:szCs w:val="14"/>
              </w:rPr>
              <w:t xml:space="preserve"> </w:t>
            </w:r>
            <w:r w:rsidRPr="00A2019B">
              <w:rPr>
                <w:b/>
                <w:sz w:val="14"/>
                <w:szCs w:val="14"/>
              </w:rPr>
              <w:t>Solovyev</w:t>
            </w:r>
          </w:p>
        </w:tc>
        <w:tc>
          <w:tcPr>
            <w:tcW w:w="1350" w:type="dxa"/>
          </w:tcPr>
          <w:p w14:paraId="0011C4FA" w14:textId="6B911667" w:rsidR="00B2423C" w:rsidRPr="00A2019B" w:rsidRDefault="00B2423C" w:rsidP="00EB2D0C">
            <w:pPr>
              <w:ind w:firstLine="0"/>
              <w:jc w:val="center"/>
              <w:rPr>
                <w:b/>
                <w:sz w:val="14"/>
                <w:szCs w:val="14"/>
              </w:rPr>
            </w:pPr>
            <w:r w:rsidRPr="00A2019B">
              <w:rPr>
                <w:b/>
                <w:sz w:val="14"/>
                <w:szCs w:val="14"/>
              </w:rPr>
              <w:t>Semi-official</w:t>
            </w:r>
            <w:r w:rsidR="00A2019B">
              <w:rPr>
                <w:b/>
                <w:sz w:val="14"/>
                <w:szCs w:val="14"/>
              </w:rPr>
              <w:t xml:space="preserve"> </w:t>
            </w:r>
            <w:r w:rsidRPr="00A2019B">
              <w:rPr>
                <w:b/>
                <w:sz w:val="14"/>
                <w:szCs w:val="14"/>
              </w:rPr>
              <w:t>media figure</w:t>
            </w:r>
          </w:p>
        </w:tc>
        <w:tc>
          <w:tcPr>
            <w:tcW w:w="1690" w:type="dxa"/>
          </w:tcPr>
          <w:p w14:paraId="44BE5D19" w14:textId="77777777" w:rsidR="00B2423C" w:rsidRPr="00A2019B" w:rsidRDefault="00B2423C" w:rsidP="00EB2D0C">
            <w:pPr>
              <w:ind w:firstLine="0"/>
              <w:jc w:val="center"/>
              <w:rPr>
                <w:b/>
                <w:sz w:val="14"/>
                <w:szCs w:val="14"/>
              </w:rPr>
            </w:pPr>
            <w:r w:rsidRPr="00A2019B">
              <w:rPr>
                <w:b/>
                <w:sz w:val="14"/>
                <w:szCs w:val="14"/>
              </w:rPr>
              <w:t>Public speech</w:t>
            </w:r>
          </w:p>
        </w:tc>
        <w:tc>
          <w:tcPr>
            <w:tcW w:w="10337" w:type="dxa"/>
          </w:tcPr>
          <w:p w14:paraId="56065D5A" w14:textId="279D233E" w:rsidR="00B2423C" w:rsidRPr="00A2019B" w:rsidRDefault="00B2423C" w:rsidP="00A2019B">
            <w:pPr>
              <w:ind w:firstLine="0"/>
              <w:jc w:val="center"/>
              <w:rPr>
                <w:sz w:val="14"/>
                <w:szCs w:val="14"/>
                <w:lang w:val="ru-RU"/>
              </w:rPr>
            </w:pPr>
            <w:r w:rsidRPr="00A2019B">
              <w:rPr>
                <w:sz w:val="14"/>
                <w:szCs w:val="14"/>
                <w:lang w:val="ru-RU"/>
              </w:rPr>
              <w:t>Меня часто спрашивают, почему ты любишь Армению. Армению сложно не любить. Потрясающая природа, удивительное небо, плодородная земля.</w:t>
            </w:r>
            <w:r w:rsidR="002663ED" w:rsidRPr="00A2019B">
              <w:rPr>
                <w:sz w:val="14"/>
                <w:szCs w:val="14"/>
                <w:lang w:val="ru-RU"/>
              </w:rPr>
              <w:t xml:space="preserve"> </w:t>
            </w:r>
            <w:r w:rsidRPr="00A2019B">
              <w:rPr>
                <w:sz w:val="14"/>
                <w:szCs w:val="14"/>
                <w:lang w:val="ru-RU"/>
              </w:rPr>
              <w:t>Мужчины, которые своей жизнью доказали своё право называться гордыми преемниками великой истории.</w:t>
            </w:r>
            <w:r w:rsidRPr="00A2019B">
              <w:rPr>
                <w:sz w:val="14"/>
                <w:szCs w:val="14"/>
                <w:lang w:val="ru-RU"/>
              </w:rPr>
              <w:br/>
              <w:t xml:space="preserve"> Женщины, трудолюбие и заботливость которых настолько потрясающие, что каждый мужчина чувствует себя генералом в армянско</w:t>
            </w:r>
            <w:r w:rsidR="002663ED" w:rsidRPr="00A2019B">
              <w:rPr>
                <w:sz w:val="14"/>
                <w:szCs w:val="14"/>
                <w:lang w:val="ru-RU"/>
              </w:rPr>
              <w:t xml:space="preserve"> </w:t>
            </w:r>
            <w:r w:rsidRPr="00A2019B">
              <w:rPr>
                <w:sz w:val="14"/>
                <w:szCs w:val="14"/>
                <w:lang w:val="ru-RU"/>
              </w:rPr>
              <w:t>армии.</w:t>
            </w:r>
            <w:r w:rsidR="002663ED" w:rsidRPr="00A2019B">
              <w:rPr>
                <w:sz w:val="14"/>
                <w:szCs w:val="14"/>
                <w:lang w:val="ru-RU"/>
              </w:rPr>
              <w:t xml:space="preserve"> </w:t>
            </w:r>
            <w:r w:rsidRPr="00A2019B">
              <w:rPr>
                <w:sz w:val="14"/>
                <w:szCs w:val="14"/>
                <w:lang w:val="ru-RU"/>
              </w:rPr>
              <w:t>Женщины д.обрые и красивые.</w:t>
            </w:r>
            <w:r w:rsidR="002663ED" w:rsidRPr="00A2019B">
              <w:rPr>
                <w:sz w:val="14"/>
                <w:szCs w:val="14"/>
                <w:lang w:val="ru-RU"/>
              </w:rPr>
              <w:t xml:space="preserve"> </w:t>
            </w:r>
            <w:r w:rsidRPr="00A2019B">
              <w:rPr>
                <w:sz w:val="14"/>
                <w:szCs w:val="14"/>
                <w:lang w:val="ru-RU"/>
              </w:rPr>
              <w:t>Мужчины, которые землепашцы и строители.</w:t>
            </w:r>
            <w:r w:rsidRPr="00A2019B">
              <w:rPr>
                <w:sz w:val="14"/>
                <w:szCs w:val="14"/>
                <w:lang w:val="ru-RU"/>
              </w:rPr>
              <w:br/>
              <w:t xml:space="preserve"> Великие писатели и замечательные музыканты.</w:t>
            </w:r>
            <w:r w:rsidR="002663ED" w:rsidRPr="00A2019B">
              <w:rPr>
                <w:sz w:val="14"/>
                <w:szCs w:val="14"/>
                <w:lang w:val="ru-RU"/>
              </w:rPr>
              <w:t xml:space="preserve"> </w:t>
            </w:r>
            <w:r w:rsidRPr="00A2019B">
              <w:rPr>
                <w:sz w:val="14"/>
                <w:szCs w:val="14"/>
                <w:lang w:val="ru-RU"/>
              </w:rPr>
              <w:t>Но когда наступает момент истины, они становятся войнами.</w:t>
            </w:r>
            <w:r w:rsidR="002663ED" w:rsidRPr="00A2019B">
              <w:rPr>
                <w:sz w:val="14"/>
                <w:szCs w:val="14"/>
                <w:lang w:val="ru-RU"/>
              </w:rPr>
              <w:t xml:space="preserve"> </w:t>
            </w:r>
            <w:r w:rsidRPr="00A2019B">
              <w:rPr>
                <w:sz w:val="14"/>
                <w:szCs w:val="14"/>
                <w:lang w:val="ru-RU"/>
              </w:rPr>
              <w:t>И становятся войнами</w:t>
            </w:r>
            <w:r w:rsidR="002663ED" w:rsidRPr="00A2019B">
              <w:rPr>
                <w:sz w:val="14"/>
                <w:szCs w:val="14"/>
                <w:lang w:val="ru-RU"/>
              </w:rPr>
              <w:t xml:space="preserve"> </w:t>
            </w:r>
            <w:r w:rsidRPr="00A2019B">
              <w:rPr>
                <w:sz w:val="14"/>
                <w:szCs w:val="14"/>
                <w:lang w:val="ru-RU"/>
              </w:rPr>
              <w:t>непобедимыми.</w:t>
            </w:r>
            <w:r w:rsidR="002663ED" w:rsidRPr="00A2019B">
              <w:rPr>
                <w:sz w:val="14"/>
                <w:szCs w:val="14"/>
                <w:lang w:val="ru-RU"/>
              </w:rPr>
              <w:t xml:space="preserve"> </w:t>
            </w:r>
            <w:r w:rsidRPr="00A2019B">
              <w:rPr>
                <w:sz w:val="14"/>
                <w:szCs w:val="14"/>
                <w:lang w:val="ru-RU"/>
              </w:rPr>
              <w:t xml:space="preserve"> И женщины, которые по-прежнему ждут их рядом.</w:t>
            </w:r>
            <w:r w:rsidR="002663ED" w:rsidRPr="00A2019B">
              <w:rPr>
                <w:sz w:val="14"/>
                <w:szCs w:val="14"/>
                <w:lang w:val="ru-RU"/>
              </w:rPr>
              <w:t xml:space="preserve"> </w:t>
            </w:r>
            <w:r w:rsidRPr="00A2019B">
              <w:rPr>
                <w:sz w:val="14"/>
                <w:szCs w:val="14"/>
                <w:lang w:val="ru-RU"/>
              </w:rPr>
              <w:t>И когда мужчины возвращаются домой с войны</w:t>
            </w:r>
            <w:r w:rsidRPr="00A2019B">
              <w:rPr>
                <w:sz w:val="14"/>
                <w:szCs w:val="14"/>
                <w:lang w:val="ru-RU"/>
              </w:rPr>
              <w:br/>
              <w:t xml:space="preserve"> и отправляются зарабатывать деньги, женщины воспитывают детей.</w:t>
            </w:r>
            <w:r w:rsidRPr="00A2019B">
              <w:rPr>
                <w:sz w:val="14"/>
                <w:szCs w:val="14"/>
                <w:lang w:val="ru-RU"/>
              </w:rPr>
              <w:br/>
            </w:r>
            <w:r w:rsidR="002663ED" w:rsidRPr="00A2019B">
              <w:rPr>
                <w:sz w:val="14"/>
                <w:szCs w:val="14"/>
                <w:lang w:val="ru-RU"/>
              </w:rPr>
              <w:t xml:space="preserve"> </w:t>
            </w:r>
            <w:r w:rsidRPr="00A2019B">
              <w:rPr>
                <w:sz w:val="14"/>
                <w:szCs w:val="14"/>
                <w:lang w:val="ru-RU"/>
              </w:rPr>
              <w:t>И воспитывают их в традиции, когда, глядя на армянскую семью, хочется сказать,</w:t>
            </w:r>
            <w:r w:rsidRPr="00A2019B">
              <w:rPr>
                <w:sz w:val="14"/>
                <w:szCs w:val="14"/>
                <w:lang w:val="ru-RU"/>
              </w:rPr>
              <w:br/>
            </w:r>
            <w:r w:rsidR="002663ED" w:rsidRPr="00A2019B">
              <w:rPr>
                <w:sz w:val="14"/>
                <w:szCs w:val="14"/>
                <w:lang w:val="ru-RU"/>
              </w:rPr>
              <w:t xml:space="preserve"> </w:t>
            </w:r>
            <w:r w:rsidRPr="00A2019B">
              <w:rPr>
                <w:sz w:val="14"/>
                <w:szCs w:val="14"/>
                <w:lang w:val="ru-RU"/>
              </w:rPr>
              <w:t>вот это настоящая семья.</w:t>
            </w:r>
            <w:r w:rsidR="002663ED" w:rsidRPr="00A2019B">
              <w:rPr>
                <w:sz w:val="14"/>
                <w:szCs w:val="14"/>
                <w:lang w:val="ru-RU"/>
              </w:rPr>
              <w:t xml:space="preserve"> </w:t>
            </w:r>
            <w:r w:rsidRPr="00A2019B">
              <w:rPr>
                <w:sz w:val="14"/>
                <w:szCs w:val="14"/>
                <w:lang w:val="ru-RU"/>
              </w:rPr>
              <w:t>И когда видишь отношения, то испытываешь чувство гордости за этих людей.</w:t>
            </w:r>
            <w:r w:rsidR="002663ED" w:rsidRPr="00A2019B">
              <w:rPr>
                <w:sz w:val="14"/>
                <w:szCs w:val="14"/>
                <w:lang w:val="ru-RU"/>
              </w:rPr>
              <w:t xml:space="preserve"> </w:t>
            </w:r>
            <w:r w:rsidRPr="00A2019B">
              <w:rPr>
                <w:sz w:val="14"/>
                <w:szCs w:val="14"/>
                <w:lang w:val="ru-RU"/>
              </w:rPr>
              <w:t>Поэтому Армения не только</w:t>
            </w:r>
            <w:r w:rsidR="002663ED" w:rsidRPr="00A2019B">
              <w:rPr>
                <w:sz w:val="14"/>
                <w:szCs w:val="14"/>
                <w:lang w:val="ru-RU"/>
              </w:rPr>
              <w:t xml:space="preserve"> </w:t>
            </w:r>
            <w:r w:rsidRPr="00A2019B">
              <w:rPr>
                <w:sz w:val="14"/>
                <w:szCs w:val="14"/>
                <w:lang w:val="ru-RU"/>
              </w:rPr>
              <w:t>фрукты, не только виды на гору Арарат,</w:t>
            </w:r>
            <w:r w:rsidR="002663ED" w:rsidRPr="00A2019B">
              <w:rPr>
                <w:sz w:val="14"/>
                <w:szCs w:val="14"/>
                <w:lang w:val="ru-RU"/>
              </w:rPr>
              <w:t xml:space="preserve"> </w:t>
            </w:r>
            <w:r w:rsidRPr="00A2019B">
              <w:rPr>
                <w:sz w:val="14"/>
                <w:szCs w:val="14"/>
                <w:lang w:val="ru-RU"/>
              </w:rPr>
              <w:t xml:space="preserve"> которые до сих пор почему-то не наши.</w:t>
            </w:r>
            <w:r w:rsidR="002663ED" w:rsidRPr="00A2019B">
              <w:rPr>
                <w:sz w:val="14"/>
                <w:szCs w:val="14"/>
                <w:lang w:val="ru-RU"/>
              </w:rPr>
              <w:t xml:space="preserve"> </w:t>
            </w:r>
            <w:r w:rsidRPr="00A2019B">
              <w:rPr>
                <w:sz w:val="14"/>
                <w:szCs w:val="14"/>
                <w:lang w:val="ru-RU"/>
              </w:rPr>
              <w:t>Не только воспоминания</w:t>
            </w:r>
            <w:r w:rsidR="002663ED" w:rsidRPr="00A2019B">
              <w:rPr>
                <w:sz w:val="14"/>
                <w:szCs w:val="14"/>
                <w:lang w:val="ru-RU"/>
              </w:rPr>
              <w:t xml:space="preserve"> </w:t>
            </w:r>
            <w:r w:rsidRPr="00A2019B">
              <w:rPr>
                <w:sz w:val="14"/>
                <w:szCs w:val="14"/>
                <w:lang w:val="ru-RU"/>
              </w:rPr>
              <w:t>о прекрасном Ереване</w:t>
            </w:r>
            <w:r w:rsidRPr="00A2019B">
              <w:rPr>
                <w:sz w:val="14"/>
                <w:szCs w:val="14"/>
                <w:lang w:val="ru-RU"/>
              </w:rPr>
              <w:br/>
              <w:t xml:space="preserve"> и непокорившемся Степанакерте.</w:t>
            </w:r>
            <w:r w:rsidR="002663ED" w:rsidRPr="00A2019B">
              <w:rPr>
                <w:sz w:val="14"/>
                <w:szCs w:val="14"/>
                <w:lang w:val="ru-RU"/>
              </w:rPr>
              <w:t xml:space="preserve"> </w:t>
            </w:r>
            <w:r w:rsidRPr="00A2019B">
              <w:rPr>
                <w:sz w:val="14"/>
                <w:szCs w:val="14"/>
                <w:lang w:val="ru-RU"/>
              </w:rPr>
              <w:t>Это не только гордость за то, что и в Риме есть карты,</w:t>
            </w:r>
            <w:r w:rsidR="002663ED" w:rsidRPr="00A2019B">
              <w:rPr>
                <w:sz w:val="14"/>
                <w:szCs w:val="14"/>
                <w:lang w:val="ru-RU"/>
              </w:rPr>
              <w:t xml:space="preserve"> </w:t>
            </w:r>
            <w:r w:rsidRPr="00A2019B">
              <w:rPr>
                <w:sz w:val="14"/>
                <w:szCs w:val="14"/>
                <w:lang w:val="ru-RU"/>
              </w:rPr>
              <w:t>по которым ясно,</w:t>
            </w:r>
            <w:r w:rsidR="002663ED" w:rsidRPr="00A2019B">
              <w:rPr>
                <w:sz w:val="14"/>
                <w:szCs w:val="14"/>
                <w:lang w:val="ru-RU"/>
              </w:rPr>
              <w:t xml:space="preserve"> </w:t>
            </w:r>
            <w:r w:rsidRPr="00A2019B">
              <w:rPr>
                <w:sz w:val="14"/>
                <w:szCs w:val="14"/>
                <w:lang w:val="ru-RU"/>
              </w:rPr>
              <w:t>где была Великая Армения,</w:t>
            </w:r>
            <w:r w:rsidR="008D2810" w:rsidRPr="00A2019B">
              <w:rPr>
                <w:sz w:val="14"/>
                <w:szCs w:val="14"/>
                <w:lang w:val="ru-RU"/>
              </w:rPr>
              <w:t xml:space="preserve"> </w:t>
            </w:r>
            <w:r w:rsidRPr="00A2019B">
              <w:rPr>
                <w:sz w:val="14"/>
                <w:szCs w:val="14"/>
                <w:lang w:val="ru-RU"/>
              </w:rPr>
              <w:t>когда все соседи еще нервно переживали.</w:t>
            </w:r>
            <w:r w:rsidR="008D2810" w:rsidRPr="00A2019B">
              <w:rPr>
                <w:sz w:val="14"/>
                <w:szCs w:val="14"/>
                <w:lang w:val="ru-RU"/>
              </w:rPr>
              <w:t xml:space="preserve"> </w:t>
            </w:r>
            <w:r w:rsidRPr="00A2019B">
              <w:rPr>
                <w:sz w:val="14"/>
                <w:szCs w:val="14"/>
                <w:lang w:val="ru-RU"/>
              </w:rPr>
              <w:t>Но самое важное, за что чувство гордости всегда переполняет,</w:t>
            </w:r>
            <w:r w:rsidR="008D2810" w:rsidRPr="00A2019B">
              <w:rPr>
                <w:sz w:val="14"/>
                <w:szCs w:val="14"/>
                <w:lang w:val="ru-RU"/>
              </w:rPr>
              <w:t xml:space="preserve"> </w:t>
            </w:r>
            <w:r w:rsidRPr="00A2019B">
              <w:rPr>
                <w:sz w:val="14"/>
                <w:szCs w:val="14"/>
                <w:lang w:val="ru-RU"/>
              </w:rPr>
              <w:t>самое важное – это армянское</w:t>
            </w:r>
            <w:r w:rsidR="008D2810" w:rsidRPr="00A2019B">
              <w:rPr>
                <w:sz w:val="14"/>
                <w:szCs w:val="14"/>
                <w:lang w:val="ru-RU"/>
              </w:rPr>
              <w:t xml:space="preserve"> </w:t>
            </w:r>
            <w:r w:rsidRPr="00A2019B">
              <w:rPr>
                <w:sz w:val="14"/>
                <w:szCs w:val="14"/>
                <w:lang w:val="ru-RU"/>
              </w:rPr>
              <w:t>сердце.</w:t>
            </w:r>
            <w:r w:rsidR="008D2810" w:rsidRPr="00A2019B">
              <w:rPr>
                <w:sz w:val="14"/>
                <w:szCs w:val="14"/>
                <w:lang w:val="ru-RU"/>
              </w:rPr>
              <w:t xml:space="preserve"> </w:t>
            </w:r>
            <w:r w:rsidRPr="00A2019B">
              <w:rPr>
                <w:sz w:val="14"/>
                <w:szCs w:val="14"/>
                <w:lang w:val="ru-RU"/>
              </w:rPr>
              <w:t>Самое важное – это то, что каждый армянин чувствует</w:t>
            </w:r>
            <w:r w:rsidR="00A2019B" w:rsidRPr="00A2019B">
              <w:rPr>
                <w:sz w:val="14"/>
                <w:szCs w:val="14"/>
                <w:lang w:val="ru-RU"/>
              </w:rPr>
              <w:t xml:space="preserve"> </w:t>
            </w:r>
            <w:r w:rsidRPr="00A2019B">
              <w:rPr>
                <w:sz w:val="14"/>
                <w:szCs w:val="14"/>
                <w:lang w:val="ru-RU"/>
              </w:rPr>
              <w:t>в себе ответственность за великую историю и принадлежность</w:t>
            </w:r>
            <w:r w:rsidR="008D2810" w:rsidRPr="00A2019B">
              <w:rPr>
                <w:sz w:val="14"/>
                <w:szCs w:val="14"/>
                <w:lang w:val="ru-RU"/>
              </w:rPr>
              <w:t xml:space="preserve"> </w:t>
            </w:r>
            <w:r w:rsidRPr="00A2019B">
              <w:rPr>
                <w:sz w:val="14"/>
                <w:szCs w:val="14"/>
                <w:lang w:val="ru-RU"/>
              </w:rPr>
              <w:t xml:space="preserve"> к великому народу.</w:t>
            </w:r>
            <w:r w:rsidRPr="00A2019B">
              <w:rPr>
                <w:sz w:val="14"/>
                <w:szCs w:val="14"/>
                <w:lang w:val="ru-RU"/>
              </w:rPr>
              <w:br/>
              <w:t xml:space="preserve"> Поэтому, когда ты встречаешь армянина, и он твой друг,</w:t>
            </w:r>
            <w:r w:rsidR="008D2810" w:rsidRPr="00A2019B">
              <w:rPr>
                <w:sz w:val="14"/>
                <w:szCs w:val="14"/>
                <w:lang w:val="ru-RU"/>
              </w:rPr>
              <w:t xml:space="preserve"> </w:t>
            </w:r>
            <w:r w:rsidRPr="00A2019B">
              <w:rPr>
                <w:sz w:val="14"/>
                <w:szCs w:val="14"/>
                <w:lang w:val="ru-RU"/>
              </w:rPr>
              <w:t>Ты знаешь, что каждый армянин, живущий на этой земле, тоже частичка тебя и частичка этой великой дружбы.</w:t>
            </w:r>
            <w:r w:rsidR="008D2810" w:rsidRPr="00A2019B">
              <w:rPr>
                <w:sz w:val="14"/>
                <w:szCs w:val="14"/>
                <w:lang w:val="ru-RU"/>
              </w:rPr>
              <w:t xml:space="preserve"> </w:t>
            </w:r>
            <w:r w:rsidRPr="00A2019B">
              <w:rPr>
                <w:sz w:val="14"/>
                <w:szCs w:val="14"/>
                <w:lang w:val="ru-RU"/>
              </w:rPr>
              <w:t>В моей жизни я видел множество подступков, которые наполняли мое сердце чувством гордости, и у меня</w:t>
            </w:r>
            <w:r w:rsidR="008D2810" w:rsidRPr="00A2019B">
              <w:rPr>
                <w:sz w:val="14"/>
                <w:szCs w:val="14"/>
                <w:lang w:val="ru-RU"/>
              </w:rPr>
              <w:t xml:space="preserve"> </w:t>
            </w:r>
            <w:r w:rsidRPr="00A2019B">
              <w:rPr>
                <w:sz w:val="14"/>
                <w:szCs w:val="14"/>
                <w:lang w:val="ru-RU"/>
              </w:rPr>
              <w:t>выступали слезы.</w:t>
            </w:r>
            <w:r w:rsidR="008D2810" w:rsidRPr="00A2019B">
              <w:rPr>
                <w:sz w:val="14"/>
                <w:szCs w:val="14"/>
                <w:lang w:val="ru-RU"/>
              </w:rPr>
              <w:t xml:space="preserve"> </w:t>
            </w:r>
            <w:r w:rsidRPr="00A2019B">
              <w:rPr>
                <w:sz w:val="14"/>
                <w:szCs w:val="14"/>
                <w:lang w:val="ru-RU"/>
              </w:rPr>
              <w:t>Мои друзья приходили мне на помощь, когда мне было тяжело, и в радости они были рядом.</w:t>
            </w:r>
            <w:r w:rsidR="008D2810" w:rsidRPr="00A2019B">
              <w:rPr>
                <w:sz w:val="14"/>
                <w:szCs w:val="14"/>
                <w:lang w:val="ru-RU"/>
              </w:rPr>
              <w:t xml:space="preserve"> </w:t>
            </w:r>
            <w:r w:rsidRPr="00A2019B">
              <w:rPr>
                <w:sz w:val="14"/>
                <w:szCs w:val="14"/>
                <w:lang w:val="ru-RU"/>
              </w:rPr>
              <w:t>Я всегда знал, что есть телефон, по которому я могу позвонить.</w:t>
            </w:r>
            <w:r w:rsidR="008D2810" w:rsidRPr="00A2019B">
              <w:rPr>
                <w:sz w:val="14"/>
                <w:szCs w:val="14"/>
                <w:lang w:val="ru-RU"/>
              </w:rPr>
              <w:t xml:space="preserve"> </w:t>
            </w:r>
            <w:r w:rsidRPr="00A2019B">
              <w:rPr>
                <w:sz w:val="14"/>
                <w:szCs w:val="14"/>
                <w:lang w:val="ru-RU"/>
              </w:rPr>
              <w:t>И есть люди, которые появятся, не спрашивая, что случилось, а просто потому, что они должны быть рядом.</w:t>
            </w:r>
            <w:r w:rsidR="008D2810" w:rsidRPr="00A2019B">
              <w:rPr>
                <w:sz w:val="14"/>
                <w:szCs w:val="14"/>
                <w:lang w:val="ru-RU"/>
              </w:rPr>
              <w:t xml:space="preserve"> </w:t>
            </w:r>
            <w:r w:rsidRPr="00A2019B">
              <w:rPr>
                <w:sz w:val="14"/>
                <w:szCs w:val="14"/>
                <w:lang w:val="ru-RU"/>
              </w:rPr>
              <w:t>Это настоящие друзья. Это армяне.</w:t>
            </w:r>
          </w:p>
        </w:tc>
      </w:tr>
      <w:tr w:rsidR="00A2019B" w:rsidRPr="00A2019B" w14:paraId="4501443E" w14:textId="77777777" w:rsidTr="00A2019B">
        <w:trPr>
          <w:trHeight w:val="300"/>
          <w:jc w:val="center"/>
        </w:trPr>
        <w:tc>
          <w:tcPr>
            <w:tcW w:w="639" w:type="dxa"/>
          </w:tcPr>
          <w:p w14:paraId="7D7A984D" w14:textId="77777777" w:rsidR="00B2423C" w:rsidRPr="00A2019B" w:rsidRDefault="00B2423C" w:rsidP="00EB2D0C">
            <w:pPr>
              <w:ind w:firstLine="0"/>
              <w:jc w:val="center"/>
              <w:rPr>
                <w:b/>
                <w:sz w:val="14"/>
                <w:szCs w:val="14"/>
              </w:rPr>
            </w:pPr>
            <w:r w:rsidRPr="00A2019B">
              <w:rPr>
                <w:b/>
                <w:sz w:val="14"/>
                <w:szCs w:val="14"/>
              </w:rPr>
              <w:t>2015</w:t>
            </w:r>
          </w:p>
        </w:tc>
        <w:tc>
          <w:tcPr>
            <w:tcW w:w="1572" w:type="dxa"/>
          </w:tcPr>
          <w:p w14:paraId="6331B0F1" w14:textId="65FD25CA" w:rsidR="00B2423C" w:rsidRPr="00A2019B" w:rsidRDefault="00B2423C" w:rsidP="00EB2D0C">
            <w:pPr>
              <w:ind w:firstLine="0"/>
              <w:jc w:val="center"/>
              <w:rPr>
                <w:b/>
                <w:sz w:val="14"/>
                <w:szCs w:val="14"/>
              </w:rPr>
            </w:pPr>
            <w:r w:rsidRPr="00A2019B">
              <w:rPr>
                <w:b/>
                <w:sz w:val="14"/>
                <w:szCs w:val="14"/>
              </w:rPr>
              <w:t>Vladimir Putin</w:t>
            </w:r>
          </w:p>
        </w:tc>
        <w:tc>
          <w:tcPr>
            <w:tcW w:w="1350" w:type="dxa"/>
          </w:tcPr>
          <w:p w14:paraId="045DE7D8" w14:textId="6FE9E986" w:rsidR="00B2423C" w:rsidRPr="00A2019B" w:rsidRDefault="00B2423C" w:rsidP="00EB2D0C">
            <w:pPr>
              <w:ind w:firstLine="0"/>
              <w:jc w:val="center"/>
              <w:rPr>
                <w:b/>
                <w:sz w:val="14"/>
                <w:szCs w:val="14"/>
              </w:rPr>
            </w:pPr>
            <w:r w:rsidRPr="00A2019B">
              <w:rPr>
                <w:b/>
                <w:sz w:val="14"/>
                <w:szCs w:val="14"/>
              </w:rPr>
              <w:t>Official</w:t>
            </w:r>
          </w:p>
        </w:tc>
        <w:tc>
          <w:tcPr>
            <w:tcW w:w="1690" w:type="dxa"/>
          </w:tcPr>
          <w:p w14:paraId="2193F83A" w14:textId="77777777" w:rsidR="00B2423C" w:rsidRPr="00A2019B" w:rsidRDefault="00B2423C" w:rsidP="00EB2D0C">
            <w:pPr>
              <w:ind w:firstLine="0"/>
              <w:jc w:val="center"/>
              <w:rPr>
                <w:b/>
                <w:sz w:val="14"/>
                <w:szCs w:val="14"/>
              </w:rPr>
            </w:pPr>
            <w:r w:rsidRPr="00A2019B">
              <w:rPr>
                <w:b/>
                <w:sz w:val="14"/>
                <w:szCs w:val="14"/>
              </w:rPr>
              <w:t>Public speech</w:t>
            </w:r>
          </w:p>
        </w:tc>
        <w:tc>
          <w:tcPr>
            <w:tcW w:w="10337" w:type="dxa"/>
          </w:tcPr>
          <w:p w14:paraId="49F7DDB5" w14:textId="7D1DCD62" w:rsidR="00B2423C" w:rsidRPr="00A2019B" w:rsidRDefault="00B2423C" w:rsidP="00A2019B">
            <w:pPr>
              <w:jc w:val="center"/>
              <w:rPr>
                <w:sz w:val="14"/>
                <w:szCs w:val="14"/>
                <w:lang w:val="ru-RU"/>
              </w:rPr>
            </w:pPr>
            <w:r w:rsidRPr="00A2019B">
              <w:rPr>
                <w:sz w:val="14"/>
                <w:szCs w:val="14"/>
                <w:lang w:val="ru-RU"/>
              </w:rPr>
              <w:t>Дорогие друзья! Уважаемые дамы и господа!</w:t>
            </w:r>
            <w:r w:rsidR="008D2810" w:rsidRPr="00A2019B">
              <w:rPr>
                <w:sz w:val="14"/>
                <w:szCs w:val="14"/>
                <w:lang w:val="ru-RU"/>
              </w:rPr>
              <w:t xml:space="preserve"> </w:t>
            </w:r>
            <w:r w:rsidRPr="00A2019B">
              <w:rPr>
                <w:sz w:val="14"/>
                <w:szCs w:val="14"/>
                <w:lang w:val="ru-RU"/>
              </w:rPr>
              <w:t>Признателен Президенту Армении Сержу Азатовичу Саргсяну за приглашение принять участие в сегодняшних траурных мероприятиях.</w:t>
            </w:r>
            <w:r w:rsidR="008D2810" w:rsidRPr="00A2019B">
              <w:rPr>
                <w:sz w:val="14"/>
                <w:szCs w:val="14"/>
                <w:lang w:val="ru-RU"/>
              </w:rPr>
              <w:t xml:space="preserve"> </w:t>
            </w:r>
            <w:r w:rsidRPr="00A2019B">
              <w:rPr>
                <w:sz w:val="14"/>
                <w:szCs w:val="14"/>
                <w:lang w:val="ru-RU"/>
              </w:rPr>
              <w:t>Мы искренне сопереживаем армянскому народу, испытавшему одну из самых страшных трагедий в истории человечества. Более полутора миллионов мирных людей были убиты, искалечены, а свыше шестисот тысяч – изгнаны из родных домов, подверглись массовым репрессиям. Были разрушены многие бесценные памятники архитектуры и духовные святыни, сожжены древние книги и бесценные рукописи.</w:t>
            </w:r>
            <w:r w:rsidR="008D2810" w:rsidRPr="00A2019B">
              <w:rPr>
                <w:sz w:val="14"/>
                <w:szCs w:val="14"/>
                <w:lang w:val="ru-RU"/>
              </w:rPr>
              <w:t xml:space="preserve"> </w:t>
            </w:r>
            <w:r w:rsidRPr="00A2019B">
              <w:rPr>
                <w:sz w:val="14"/>
                <w:szCs w:val="14"/>
                <w:lang w:val="ru-RU"/>
              </w:rPr>
              <w:t>События 1915 года потрясли весь мир, а в России были восприняты как собственное горе. Сотни тысяч беззащитных и потерявших кров армян, миллионы получили убежище на территории России и были спасены.</w:t>
            </w:r>
            <w:r w:rsidR="008D2810" w:rsidRPr="00A2019B">
              <w:rPr>
                <w:sz w:val="14"/>
                <w:szCs w:val="14"/>
                <w:lang w:val="ru-RU"/>
              </w:rPr>
              <w:t xml:space="preserve"> </w:t>
            </w:r>
            <w:r w:rsidRPr="00A2019B">
              <w:rPr>
                <w:sz w:val="14"/>
                <w:szCs w:val="14"/>
                <w:lang w:val="ru-RU"/>
              </w:rPr>
              <w:t>Именно российская дипломатия добилась международного осуждения насилия над армянским народом. По инициативе Министра иностранных дел Сергея Дмитриевича Сазонова Россия, Франция и Великобритания – Президент Франции сейчас вспоминал об этом – в совместном заявлении прямо назвали происшедшее преступлением против человечества и цивилизации.</w:t>
            </w:r>
            <w:r w:rsidR="008D2810" w:rsidRPr="00A2019B">
              <w:rPr>
                <w:sz w:val="14"/>
                <w:szCs w:val="14"/>
                <w:lang w:val="ru-RU"/>
              </w:rPr>
              <w:t xml:space="preserve"> </w:t>
            </w:r>
            <w:r w:rsidRPr="00A2019B">
              <w:rPr>
                <w:sz w:val="14"/>
                <w:szCs w:val="14"/>
                <w:lang w:val="ru-RU"/>
              </w:rPr>
              <w:t>Отмечу, что отношения братских народов России и Армении всегда отличались особой духовной близостью и взаимной поддержкой. Так было и в ходе драматических событий столетней давности, и в годы Великой Отечественной войны, и во время разрушительного Спитакского землетрясения.</w:t>
            </w:r>
            <w:r w:rsidR="008D2810" w:rsidRPr="00A2019B">
              <w:rPr>
                <w:sz w:val="14"/>
                <w:szCs w:val="14"/>
                <w:lang w:val="ru-RU"/>
              </w:rPr>
              <w:t xml:space="preserve"> </w:t>
            </w:r>
            <w:r w:rsidRPr="00A2019B">
              <w:rPr>
                <w:sz w:val="14"/>
                <w:szCs w:val="14"/>
                <w:lang w:val="ru-RU"/>
              </w:rPr>
              <w:t>И сегодня мы скорбим вместе с армянским народом.</w:t>
            </w:r>
            <w:r w:rsidR="008D2810" w:rsidRPr="00A2019B">
              <w:rPr>
                <w:sz w:val="14"/>
                <w:szCs w:val="14"/>
                <w:lang w:val="ru-RU"/>
              </w:rPr>
              <w:t xml:space="preserve"> </w:t>
            </w:r>
            <w:r w:rsidRPr="00A2019B">
              <w:rPr>
                <w:sz w:val="14"/>
                <w:szCs w:val="14"/>
                <w:lang w:val="ru-RU"/>
              </w:rPr>
              <w:t>В сотнях российских городов, хочу это подчеркнуть, дорогие друзья, – в сотнях российских городов пройдут более двух тысяч поминальных мероприятий. В них примут участие не только представители многочисленной армянской общины России, насчитывающей около трёх миллионов человек, но и десятки тысяч людей других национальностей.</w:t>
            </w:r>
            <w:r w:rsidR="008D2810" w:rsidRPr="00A2019B">
              <w:rPr>
                <w:sz w:val="14"/>
                <w:szCs w:val="14"/>
                <w:lang w:val="ru-RU"/>
              </w:rPr>
              <w:t xml:space="preserve"> </w:t>
            </w:r>
            <w:r w:rsidRPr="00A2019B">
              <w:rPr>
                <w:sz w:val="14"/>
                <w:szCs w:val="14"/>
                <w:lang w:val="ru-RU"/>
              </w:rPr>
              <w:t>Позиция России была и остаётся последовательной: мы считаем, что массовому убийству людей нет и не может быть никаких оправданий. Россия является участницей и инициатором целого ряда международно-правовых актов, заложивших основу современному международному уголовному праву, в том числе Конвенции о предупреждении преступлений геноцида.</w:t>
            </w:r>
            <w:r w:rsidR="009921F9" w:rsidRPr="00A2019B">
              <w:rPr>
                <w:sz w:val="14"/>
                <w:szCs w:val="14"/>
                <w:lang w:val="ru-RU"/>
              </w:rPr>
              <w:t xml:space="preserve"> </w:t>
            </w:r>
            <w:r w:rsidRPr="00A2019B">
              <w:rPr>
                <w:sz w:val="14"/>
                <w:szCs w:val="14"/>
                <w:lang w:val="ru-RU"/>
              </w:rPr>
              <w:t>Мировое сообщество обязано делать всё, чтобы трагические события прошлого никогда не повторялись, чтобы все народы могли жить в мире и согласии, не зная ужасов, к которым приводят разжигание религиозной вражды, агрессивный национализм и ксенофобия.</w:t>
            </w:r>
            <w:r w:rsidR="008D2810" w:rsidRPr="00A2019B">
              <w:rPr>
                <w:sz w:val="14"/>
                <w:szCs w:val="14"/>
                <w:lang w:val="ru-RU"/>
              </w:rPr>
              <w:t xml:space="preserve"> </w:t>
            </w:r>
            <w:r w:rsidRPr="00A2019B">
              <w:rPr>
                <w:sz w:val="14"/>
                <w:szCs w:val="14"/>
                <w:lang w:val="ru-RU"/>
              </w:rPr>
              <w:t>К сожалению, сейчас во многих регионах мира вновь поднимает голову и неофашизм, к власти рвутся радикальные националисты, набирает силу и антисемитизм, мы видим и проявления русофобии. Нужно задаться вопросом, почему это происходит и что является этому причиной. И при любом действии в критически важных регионах мира нужно прежде всего подумать о том, что будет дальше, подумать о последствиях.</w:t>
            </w:r>
            <w:r w:rsidR="008D2810" w:rsidRPr="00A2019B">
              <w:rPr>
                <w:sz w:val="14"/>
                <w:szCs w:val="14"/>
                <w:lang w:val="ru-RU"/>
              </w:rPr>
              <w:t xml:space="preserve"> </w:t>
            </w:r>
            <w:r w:rsidRPr="00A2019B">
              <w:rPr>
                <w:sz w:val="14"/>
                <w:szCs w:val="14"/>
                <w:lang w:val="ru-RU"/>
              </w:rPr>
              <w:t>Между тем, вспоминая трагические события прошлых лет, дорогие друзья, мы должны с оптимизмом смотреть вперёд, верить в идеалы дружбы, добрососедства и взаимовыручки, учиться доброте и согласию, умению уважать друг друга, уважать интересы друг друга. Только так можно сделать мир лучше, стабильнее и безопаснее.</w:t>
            </w:r>
            <w:r w:rsidR="008D2810" w:rsidRPr="00A2019B">
              <w:rPr>
                <w:sz w:val="14"/>
                <w:szCs w:val="14"/>
                <w:lang w:val="ru-RU"/>
              </w:rPr>
              <w:t xml:space="preserve"> </w:t>
            </w:r>
            <w:r w:rsidRPr="00A2019B">
              <w:rPr>
                <w:sz w:val="14"/>
                <w:szCs w:val="14"/>
                <w:lang w:val="ru-RU"/>
              </w:rPr>
              <w:t>Мы с вами, дорогие друзья. Спасибо вам за внимание.</w:t>
            </w:r>
          </w:p>
        </w:tc>
      </w:tr>
      <w:tr w:rsidR="00A2019B" w:rsidRPr="00355242" w14:paraId="3BD16C5C" w14:textId="77777777" w:rsidTr="00A2019B">
        <w:trPr>
          <w:trHeight w:val="300"/>
          <w:jc w:val="center"/>
        </w:trPr>
        <w:tc>
          <w:tcPr>
            <w:tcW w:w="639" w:type="dxa"/>
          </w:tcPr>
          <w:p w14:paraId="5CA3D00B" w14:textId="77777777" w:rsidR="00B2423C" w:rsidRPr="00A2019B" w:rsidRDefault="00B2423C" w:rsidP="00EB2D0C">
            <w:pPr>
              <w:ind w:firstLine="0"/>
              <w:jc w:val="center"/>
              <w:rPr>
                <w:b/>
                <w:sz w:val="14"/>
                <w:szCs w:val="14"/>
              </w:rPr>
            </w:pPr>
            <w:r w:rsidRPr="00A2019B">
              <w:rPr>
                <w:b/>
                <w:sz w:val="14"/>
                <w:szCs w:val="14"/>
              </w:rPr>
              <w:t>2015</w:t>
            </w:r>
          </w:p>
        </w:tc>
        <w:tc>
          <w:tcPr>
            <w:tcW w:w="1572" w:type="dxa"/>
          </w:tcPr>
          <w:p w14:paraId="137127D1" w14:textId="487EFBA8" w:rsidR="00B2423C" w:rsidRPr="00A2019B" w:rsidRDefault="00B2423C" w:rsidP="00EB2D0C">
            <w:pPr>
              <w:ind w:firstLine="0"/>
              <w:jc w:val="center"/>
              <w:rPr>
                <w:b/>
                <w:sz w:val="14"/>
                <w:szCs w:val="14"/>
              </w:rPr>
            </w:pPr>
            <w:r w:rsidRPr="00A2019B">
              <w:rPr>
                <w:b/>
                <w:sz w:val="14"/>
                <w:szCs w:val="14"/>
              </w:rPr>
              <w:t>Sergey</w:t>
            </w:r>
            <w:r w:rsidR="00A2019B">
              <w:rPr>
                <w:b/>
                <w:sz w:val="14"/>
                <w:szCs w:val="14"/>
              </w:rPr>
              <w:t xml:space="preserve"> </w:t>
            </w:r>
            <w:r w:rsidRPr="00A2019B">
              <w:rPr>
                <w:b/>
                <w:sz w:val="14"/>
                <w:szCs w:val="14"/>
              </w:rPr>
              <w:t>Lavrov</w:t>
            </w:r>
          </w:p>
        </w:tc>
        <w:tc>
          <w:tcPr>
            <w:tcW w:w="1350" w:type="dxa"/>
          </w:tcPr>
          <w:p w14:paraId="77112D07" w14:textId="77777777" w:rsidR="00B2423C" w:rsidRPr="00A2019B" w:rsidRDefault="00B2423C" w:rsidP="00EB2D0C">
            <w:pPr>
              <w:ind w:firstLine="0"/>
              <w:jc w:val="center"/>
              <w:rPr>
                <w:b/>
                <w:sz w:val="14"/>
                <w:szCs w:val="14"/>
              </w:rPr>
            </w:pPr>
            <w:r w:rsidRPr="00A2019B">
              <w:rPr>
                <w:b/>
                <w:sz w:val="14"/>
                <w:szCs w:val="14"/>
              </w:rPr>
              <w:t>Official</w:t>
            </w:r>
          </w:p>
        </w:tc>
        <w:tc>
          <w:tcPr>
            <w:tcW w:w="1690" w:type="dxa"/>
          </w:tcPr>
          <w:p w14:paraId="68F956E8" w14:textId="77777777" w:rsidR="00B2423C" w:rsidRPr="00A2019B" w:rsidRDefault="00B2423C" w:rsidP="00EB2D0C">
            <w:pPr>
              <w:ind w:firstLine="0"/>
              <w:jc w:val="center"/>
              <w:rPr>
                <w:b/>
                <w:sz w:val="14"/>
                <w:szCs w:val="14"/>
              </w:rPr>
            </w:pPr>
            <w:r w:rsidRPr="00A2019B">
              <w:rPr>
                <w:b/>
                <w:sz w:val="14"/>
                <w:szCs w:val="14"/>
              </w:rPr>
              <w:t>MFA interview</w:t>
            </w:r>
          </w:p>
        </w:tc>
        <w:tc>
          <w:tcPr>
            <w:tcW w:w="10337" w:type="dxa"/>
          </w:tcPr>
          <w:p w14:paraId="4087FBBE" w14:textId="77777777" w:rsidR="00B2423C" w:rsidRPr="00A2019B" w:rsidRDefault="00B2423C" w:rsidP="00A2019B">
            <w:pPr>
              <w:jc w:val="center"/>
              <w:rPr>
                <w:sz w:val="14"/>
                <w:szCs w:val="14"/>
                <w:lang w:val="ru-RU"/>
              </w:rPr>
            </w:pPr>
            <w:r w:rsidRPr="00A2019B">
              <w:rPr>
                <w:sz w:val="14"/>
                <w:szCs w:val="14"/>
                <w:lang w:val="ru-RU"/>
              </w:rPr>
              <w:t>Во-первых, в очередной раз хочу подтвердить наши глубочайшие соболезнования по поводу ужасного преступления, совершённого в отношении семьи Аветисян. Погибли абсолютно невинные люди. Вчера скончался и шестимесячный Серёжа. По этому поводу я специально позвонил моему коллеге Э.А.Налбандяну и ещё раз выразил в наши чувства. Важно, что обвиняемый задержан, он уже дал признательные показания. Состоялся телефонный контакт между президентами наших стран, глава Следственного комитета России А.И.Бастрыкин выехал в Ереван и вчера встречался с Президентом Армении С.А.Саргсяном. Мы подтверждаем, что совместное, максимально открытое судебное разбирательство будет осуществляться на территории Армении. Уверен, что суд быстро вынесет объективный вердикт, адекватный этому ужасному преступлению. Что касается общего контекста наших отношений, то скажу так – «в семье не без урода». Именно такое отношение сейчас проявляют и демонстрируют все военнослужащие и командование российской военной базы в Армении. Не буду приводить примеры, когда люди сходят с ума по совершенно непонятным причинам и творят невообразимое. В других ситуациях и странах таких примеров множество. Мы видим попытки политизации этой ситуации, которые исходят не от руководства Армении и России. Немало желающих использовать эту трагедию, чтобы получить какие-то геополитические преимущества. Это отвратительно, недопустимо и недостойно гордого армянского народа, который, я знаю, никогда не поведётся на подобного рода провокации. Мы скорбим вместе с Арменией и сделаем всё, чтобы это преступление не осталось безнаказанным, виновный понёс самое суровое наказание и чтобы подобное впредь не происходило. Естественно, застраховаться на сто процентов от любых трудновообразимых эксцессов невозможно, но всё необходимое будет сделано. Убежден, что союзнические российско-армянские отношения стратегического партнёрства не пострадают.</w:t>
            </w:r>
          </w:p>
        </w:tc>
      </w:tr>
      <w:tr w:rsidR="00A2019B" w:rsidRPr="00A2019B" w14:paraId="21B2369D" w14:textId="77777777" w:rsidTr="00A2019B">
        <w:trPr>
          <w:trHeight w:val="300"/>
          <w:jc w:val="center"/>
        </w:trPr>
        <w:tc>
          <w:tcPr>
            <w:tcW w:w="639" w:type="dxa"/>
          </w:tcPr>
          <w:p w14:paraId="6C36D212" w14:textId="77777777" w:rsidR="00B2423C" w:rsidRPr="00A2019B" w:rsidRDefault="00B2423C" w:rsidP="00EB2D0C">
            <w:pPr>
              <w:ind w:firstLine="0"/>
              <w:jc w:val="center"/>
              <w:rPr>
                <w:b/>
                <w:sz w:val="14"/>
                <w:szCs w:val="14"/>
              </w:rPr>
            </w:pPr>
            <w:r w:rsidRPr="00A2019B">
              <w:rPr>
                <w:b/>
                <w:sz w:val="14"/>
                <w:szCs w:val="14"/>
              </w:rPr>
              <w:t>2016</w:t>
            </w:r>
          </w:p>
        </w:tc>
        <w:tc>
          <w:tcPr>
            <w:tcW w:w="1572" w:type="dxa"/>
          </w:tcPr>
          <w:p w14:paraId="0E25F5C7" w14:textId="77777777" w:rsidR="00B2423C" w:rsidRPr="00A2019B" w:rsidRDefault="00B2423C" w:rsidP="00EB2D0C">
            <w:pPr>
              <w:ind w:firstLine="0"/>
              <w:jc w:val="center"/>
              <w:rPr>
                <w:b/>
                <w:sz w:val="14"/>
                <w:szCs w:val="14"/>
              </w:rPr>
            </w:pPr>
            <w:r w:rsidRPr="00A2019B">
              <w:rPr>
                <w:b/>
                <w:sz w:val="14"/>
                <w:szCs w:val="14"/>
              </w:rPr>
              <w:t>Vladimir Zhirinovsky</w:t>
            </w:r>
          </w:p>
        </w:tc>
        <w:tc>
          <w:tcPr>
            <w:tcW w:w="1350" w:type="dxa"/>
          </w:tcPr>
          <w:p w14:paraId="615282DF" w14:textId="765DCA7E" w:rsidR="00B2423C" w:rsidRPr="00A2019B" w:rsidRDefault="00B2423C" w:rsidP="00EB2D0C">
            <w:pPr>
              <w:ind w:firstLine="0"/>
              <w:jc w:val="center"/>
              <w:rPr>
                <w:b/>
                <w:sz w:val="14"/>
                <w:szCs w:val="14"/>
              </w:rPr>
            </w:pPr>
            <w:r w:rsidRPr="00A2019B">
              <w:rPr>
                <w:b/>
                <w:sz w:val="14"/>
                <w:szCs w:val="14"/>
              </w:rPr>
              <w:t>Semi-official</w:t>
            </w:r>
            <w:r w:rsidR="00C94038">
              <w:rPr>
                <w:b/>
                <w:sz w:val="14"/>
                <w:szCs w:val="14"/>
              </w:rPr>
              <w:t xml:space="preserve"> </w:t>
            </w:r>
            <w:r w:rsidRPr="00A2019B">
              <w:rPr>
                <w:b/>
                <w:sz w:val="14"/>
                <w:szCs w:val="14"/>
              </w:rPr>
              <w:t>political figure</w:t>
            </w:r>
          </w:p>
        </w:tc>
        <w:tc>
          <w:tcPr>
            <w:tcW w:w="1690" w:type="dxa"/>
          </w:tcPr>
          <w:p w14:paraId="35738BF7" w14:textId="77777777" w:rsidR="00B2423C" w:rsidRPr="00A2019B" w:rsidRDefault="00B2423C" w:rsidP="00EB2D0C">
            <w:pPr>
              <w:jc w:val="center"/>
              <w:rPr>
                <w:b/>
                <w:sz w:val="14"/>
                <w:szCs w:val="14"/>
              </w:rPr>
            </w:pPr>
            <w:r w:rsidRPr="00A2019B">
              <w:rPr>
                <w:b/>
                <w:sz w:val="14"/>
                <w:szCs w:val="14"/>
              </w:rPr>
              <w:t>Interview</w:t>
            </w:r>
          </w:p>
        </w:tc>
        <w:tc>
          <w:tcPr>
            <w:tcW w:w="10337" w:type="dxa"/>
          </w:tcPr>
          <w:p w14:paraId="53ACA7E7" w14:textId="0BA32676" w:rsidR="00B2423C" w:rsidRPr="00A2019B" w:rsidRDefault="00B2423C" w:rsidP="00A2019B">
            <w:pPr>
              <w:jc w:val="center"/>
              <w:rPr>
                <w:sz w:val="14"/>
                <w:szCs w:val="14"/>
                <w:lang w:val="ru-RU"/>
              </w:rPr>
            </w:pPr>
            <w:r w:rsidRPr="00A2019B">
              <w:rPr>
                <w:sz w:val="14"/>
                <w:szCs w:val="14"/>
                <w:lang w:val="ru-RU"/>
              </w:rPr>
              <w:t>Если взять исторический аспект, то естественно армяне - самое древнее государство, народ, там проживающий, но последние 1000 лет, 100 лет все менялось. Менялись флаги, границы по всей Европе, по всему миру. Это ошибка большевиков, если бы они не стали менять то территориальное деление, которое было при царе, то проблем бы не было. Как только пришла советская власть, сразу начались конфликты между Арменией и Азербайджаном", - сказал Жириновский.</w:t>
            </w:r>
            <w:r w:rsidR="008D2810" w:rsidRPr="00A2019B">
              <w:rPr>
                <w:sz w:val="14"/>
                <w:szCs w:val="14"/>
                <w:lang w:val="ru-RU"/>
              </w:rPr>
              <w:t xml:space="preserve"> </w:t>
            </w:r>
            <w:r w:rsidRPr="00A2019B">
              <w:rPr>
                <w:sz w:val="14"/>
                <w:szCs w:val="14"/>
                <w:lang w:val="ru-RU"/>
              </w:rPr>
              <w:t>Он отметил, что вражда также связана с резней в Турции.</w:t>
            </w:r>
            <w:r w:rsidR="008D2810" w:rsidRPr="00A2019B">
              <w:rPr>
                <w:sz w:val="14"/>
                <w:szCs w:val="14"/>
                <w:lang w:val="ru-RU"/>
              </w:rPr>
              <w:t xml:space="preserve"> </w:t>
            </w:r>
            <w:r w:rsidRPr="00A2019B">
              <w:rPr>
                <w:sz w:val="14"/>
                <w:szCs w:val="14"/>
                <w:lang w:val="ru-RU"/>
              </w:rPr>
              <w:t>"Естественно такое отношение не может быть решено на двусторонней основе и МГ ОБСЕ ничего не решит – ни французы, ни американцы. Надо, чтобы стороны встретились в Москве, окончательное решение может принять только президент России. Ни Женева, не Минск, ни французы, они здесь ничего не смогут сделать, потому что мы всегда там воевали, и с персами и с турками, спасали, защищали армян ", - добавил российский депутат.</w:t>
            </w:r>
            <w:r w:rsidR="008D2810" w:rsidRPr="00A2019B">
              <w:rPr>
                <w:sz w:val="14"/>
                <w:szCs w:val="14"/>
                <w:lang w:val="ru-RU"/>
              </w:rPr>
              <w:t xml:space="preserve"> </w:t>
            </w:r>
            <w:r w:rsidRPr="00A2019B">
              <w:rPr>
                <w:sz w:val="14"/>
                <w:szCs w:val="14"/>
                <w:lang w:val="ru-RU"/>
              </w:rPr>
              <w:t>Он отметил, что в случае, если Москва примет решение отдать Карабах Армении, Азербайджан заключит военное соглашение с Турцией, которая установит свои военные базы под Дагестаном.</w:t>
            </w:r>
            <w:r w:rsidR="008D2810" w:rsidRPr="00A2019B">
              <w:rPr>
                <w:sz w:val="14"/>
                <w:szCs w:val="14"/>
                <w:lang w:val="ru-RU"/>
              </w:rPr>
              <w:t xml:space="preserve"> </w:t>
            </w:r>
            <w:r w:rsidRPr="00A2019B">
              <w:rPr>
                <w:sz w:val="14"/>
                <w:szCs w:val="14"/>
                <w:lang w:val="ru-RU"/>
              </w:rPr>
              <w:t>"Что мы получим, получим продолжение Турции на север, а где Дагестан, там и весь Северный Кавказ. В этом же проблема, если бы не было Турции, то вопрос был бы решен. Но Турция и так представляет угрозу. Поэтому здесь нужно не дать возможность Турции повернуть Азербайджан в свою сторону", - добавил Жириновский.</w:t>
            </w:r>
            <w:r w:rsidR="008D2810" w:rsidRPr="00A2019B">
              <w:rPr>
                <w:sz w:val="14"/>
                <w:szCs w:val="14"/>
                <w:lang w:val="ru-RU"/>
              </w:rPr>
              <w:t xml:space="preserve"> </w:t>
            </w:r>
            <w:r w:rsidRPr="00A2019B">
              <w:rPr>
                <w:sz w:val="14"/>
                <w:szCs w:val="14"/>
                <w:lang w:val="ru-RU"/>
              </w:rPr>
              <w:t>По его словам, несмотря на двусторонние соглашения и контакты с Турцией, сейчас Азербайджан выдерживает самостоятельную линию.</w:t>
            </w:r>
            <w:r w:rsidR="008D2810" w:rsidRPr="00A2019B">
              <w:rPr>
                <w:sz w:val="14"/>
                <w:szCs w:val="14"/>
                <w:lang w:val="ru-RU"/>
              </w:rPr>
              <w:t xml:space="preserve"> </w:t>
            </w:r>
            <w:r w:rsidRPr="00A2019B">
              <w:rPr>
                <w:sz w:val="14"/>
                <w:szCs w:val="14"/>
                <w:lang w:val="ru-RU"/>
              </w:rPr>
              <w:t>"Если же мы поможем Армении воссоединиться с Карабахом, то тогда Азербайджан будет стоять на пути воссоединения с Турцией. А Турция НАТО-вская страна, все ее ненавидят, у нее все враги –русские, болгары, греки, армяне, курды, сирийцы и иракцы, все ее ненавидят. Она всем мешает и является здесь чужой. Это кочевники, которые должны вернуться в Среднюю Азию. Нам нужно поддержать создание независимого государства Курдистан и вернуть Западную Армению армянам, и тогда автоматически как-то решится вопрос с Карабахом. Это задача на середину 21 века</w:t>
            </w:r>
          </w:p>
        </w:tc>
      </w:tr>
      <w:tr w:rsidR="00A2019B" w:rsidRPr="00355242" w14:paraId="613FFA78" w14:textId="77777777" w:rsidTr="00A2019B">
        <w:trPr>
          <w:trHeight w:val="300"/>
          <w:jc w:val="center"/>
        </w:trPr>
        <w:tc>
          <w:tcPr>
            <w:tcW w:w="639" w:type="dxa"/>
          </w:tcPr>
          <w:p w14:paraId="4CE5FBE0" w14:textId="77777777" w:rsidR="00B2423C" w:rsidRPr="00A2019B" w:rsidRDefault="00B2423C" w:rsidP="00EB2D0C">
            <w:pPr>
              <w:ind w:firstLine="0"/>
              <w:jc w:val="center"/>
              <w:rPr>
                <w:b/>
                <w:sz w:val="14"/>
                <w:szCs w:val="14"/>
              </w:rPr>
            </w:pPr>
            <w:r w:rsidRPr="00A2019B">
              <w:rPr>
                <w:b/>
                <w:sz w:val="14"/>
                <w:szCs w:val="14"/>
              </w:rPr>
              <w:t>2018</w:t>
            </w:r>
          </w:p>
        </w:tc>
        <w:tc>
          <w:tcPr>
            <w:tcW w:w="1572" w:type="dxa"/>
          </w:tcPr>
          <w:p w14:paraId="2DFCAE39" w14:textId="77777777" w:rsidR="00B2423C" w:rsidRPr="00A2019B" w:rsidRDefault="00B2423C" w:rsidP="00EB2D0C">
            <w:pPr>
              <w:ind w:firstLine="0"/>
              <w:jc w:val="center"/>
              <w:rPr>
                <w:b/>
                <w:sz w:val="14"/>
                <w:szCs w:val="14"/>
              </w:rPr>
            </w:pPr>
            <w:r w:rsidRPr="00A2019B">
              <w:rPr>
                <w:b/>
                <w:sz w:val="14"/>
                <w:szCs w:val="14"/>
              </w:rPr>
              <w:t>Roman Babayan</w:t>
            </w:r>
          </w:p>
        </w:tc>
        <w:tc>
          <w:tcPr>
            <w:tcW w:w="1350" w:type="dxa"/>
          </w:tcPr>
          <w:p w14:paraId="51B47F1F" w14:textId="45F78380" w:rsidR="00B2423C" w:rsidRPr="00A2019B" w:rsidRDefault="00B2423C" w:rsidP="00EB2D0C">
            <w:pPr>
              <w:ind w:firstLine="0"/>
              <w:jc w:val="center"/>
              <w:rPr>
                <w:b/>
                <w:sz w:val="14"/>
                <w:szCs w:val="14"/>
              </w:rPr>
            </w:pPr>
            <w:r w:rsidRPr="00A2019B">
              <w:rPr>
                <w:b/>
                <w:sz w:val="14"/>
                <w:szCs w:val="14"/>
              </w:rPr>
              <w:t>Semi-official</w:t>
            </w:r>
            <w:r w:rsidR="00A2019B">
              <w:rPr>
                <w:b/>
                <w:sz w:val="14"/>
                <w:szCs w:val="14"/>
              </w:rPr>
              <w:t xml:space="preserve"> </w:t>
            </w:r>
            <w:r w:rsidRPr="00A2019B">
              <w:rPr>
                <w:b/>
                <w:sz w:val="14"/>
                <w:szCs w:val="14"/>
              </w:rPr>
              <w:t>media figure</w:t>
            </w:r>
          </w:p>
        </w:tc>
        <w:tc>
          <w:tcPr>
            <w:tcW w:w="1690" w:type="dxa"/>
          </w:tcPr>
          <w:p w14:paraId="147DADDE" w14:textId="77777777" w:rsidR="00B2423C" w:rsidRPr="00A2019B" w:rsidRDefault="00B2423C" w:rsidP="00EB2D0C">
            <w:pPr>
              <w:ind w:firstLine="0"/>
              <w:jc w:val="center"/>
              <w:rPr>
                <w:b/>
                <w:sz w:val="14"/>
                <w:szCs w:val="14"/>
              </w:rPr>
            </w:pPr>
            <w:r w:rsidRPr="00A2019B">
              <w:rPr>
                <w:b/>
                <w:sz w:val="14"/>
                <w:szCs w:val="14"/>
              </w:rPr>
              <w:t>Interview</w:t>
            </w:r>
          </w:p>
        </w:tc>
        <w:tc>
          <w:tcPr>
            <w:tcW w:w="10337" w:type="dxa"/>
          </w:tcPr>
          <w:p w14:paraId="747FADEB" w14:textId="51468F33" w:rsidR="00B2423C" w:rsidRPr="00A2019B" w:rsidRDefault="00B2423C" w:rsidP="00A2019B">
            <w:pPr>
              <w:jc w:val="center"/>
              <w:rPr>
                <w:sz w:val="14"/>
                <w:szCs w:val="14"/>
                <w:lang w:val="ru-RU"/>
              </w:rPr>
            </w:pPr>
            <w:r w:rsidRPr="00A2019B">
              <w:rPr>
                <w:sz w:val="14"/>
                <w:szCs w:val="14"/>
                <w:lang w:val="ru-RU"/>
              </w:rPr>
              <w:t xml:space="preserve">Россия уступает американцам по эффективности работы с обществами постсоветских стран. Такое мнение выразил </w:t>
            </w:r>
            <w:hyperlink r:id="rId270">
              <w:r w:rsidRPr="00A2019B">
                <w:rPr>
                  <w:rStyle w:val="Collegamentoipertestuale"/>
                  <w:color w:val="auto"/>
                  <w:sz w:val="14"/>
                  <w:szCs w:val="14"/>
                  <w:u w:val="none"/>
                </w:rPr>
                <w:t>Sputnik</w:t>
              </w:r>
              <w:r w:rsidRPr="00A2019B">
                <w:rPr>
                  <w:rStyle w:val="Collegamentoipertestuale"/>
                  <w:color w:val="auto"/>
                  <w:sz w:val="14"/>
                  <w:szCs w:val="14"/>
                  <w:u w:val="none"/>
                  <w:lang w:val="ru-RU"/>
                </w:rPr>
                <w:t xml:space="preserve"> Армения</w:t>
              </w:r>
            </w:hyperlink>
            <w:r w:rsidRPr="00A2019B">
              <w:rPr>
                <w:sz w:val="14"/>
                <w:szCs w:val="14"/>
                <w:lang w:val="ru-RU"/>
              </w:rPr>
              <w:t xml:space="preserve"> известный российский тележурналист Роман Бабаян, который участвовал в Ереване на заседании армяно-российского Лазаревского клуба.</w:t>
            </w:r>
            <w:r w:rsidR="008D2810" w:rsidRPr="00A2019B">
              <w:rPr>
                <w:sz w:val="14"/>
                <w:szCs w:val="14"/>
                <w:lang w:val="ru-RU"/>
              </w:rPr>
              <w:t xml:space="preserve"> </w:t>
            </w:r>
            <w:r w:rsidRPr="00A2019B">
              <w:rPr>
                <w:sz w:val="14"/>
                <w:szCs w:val="14"/>
                <w:lang w:val="ru-RU"/>
              </w:rPr>
              <w:t xml:space="preserve">"Американские фонды по "защите демократии" активно работают в Армении. Это и </w:t>
            </w:r>
            <w:r w:rsidRPr="00A2019B">
              <w:rPr>
                <w:sz w:val="14"/>
                <w:szCs w:val="14"/>
              </w:rPr>
              <w:t>USAID</w:t>
            </w:r>
            <w:r w:rsidRPr="00A2019B">
              <w:rPr>
                <w:sz w:val="14"/>
                <w:szCs w:val="14"/>
                <w:lang w:val="ru-RU"/>
              </w:rPr>
              <w:t>, и "Национальный фонд демократии" (</w:t>
            </w:r>
            <w:r w:rsidRPr="00A2019B">
              <w:rPr>
                <w:sz w:val="14"/>
                <w:szCs w:val="14"/>
              </w:rPr>
              <w:t>NED</w:t>
            </w:r>
            <w:r w:rsidRPr="00A2019B">
              <w:rPr>
                <w:sz w:val="14"/>
                <w:szCs w:val="14"/>
                <w:lang w:val="ru-RU"/>
              </w:rPr>
              <w:t>). И мы видим, что в Армении из года в год уменьшается число граждан, выступающих за дальнейшее укрепление союзнических отношений с Россией", - сказал он.</w:t>
            </w:r>
            <w:r w:rsidR="008D2810" w:rsidRPr="00A2019B">
              <w:rPr>
                <w:sz w:val="14"/>
                <w:szCs w:val="14"/>
                <w:lang w:val="ru-RU"/>
              </w:rPr>
              <w:t xml:space="preserve"> </w:t>
            </w:r>
            <w:r w:rsidRPr="00A2019B">
              <w:rPr>
                <w:sz w:val="14"/>
                <w:szCs w:val="14"/>
                <w:lang w:val="ru-RU"/>
              </w:rPr>
              <w:t xml:space="preserve">При этом Бабаян считает, что проблема в данном случае не в новой власти </w:t>
            </w:r>
            <w:hyperlink r:id="rId271">
              <w:r w:rsidRPr="00A2019B">
                <w:rPr>
                  <w:rStyle w:val="Collegamentoipertestuale"/>
                  <w:color w:val="auto"/>
                  <w:sz w:val="14"/>
                  <w:szCs w:val="14"/>
                  <w:u w:val="none"/>
                  <w:lang w:val="ru-RU"/>
                </w:rPr>
                <w:t>Армении,</w:t>
              </w:r>
            </w:hyperlink>
            <w:r w:rsidRPr="00A2019B">
              <w:rPr>
                <w:sz w:val="14"/>
                <w:szCs w:val="14"/>
                <w:lang w:val="ru-RU"/>
              </w:rPr>
              <w:t xml:space="preserve"> ибо тенденции отрыва союзников от России были заложены гораздо раньше. По его словам, одновременно Россия не прилагает достаточных усилий для укрепления своего присутствия в постсоветских странах.</w:t>
            </w:r>
            <w:r w:rsidR="008D2810" w:rsidRPr="00A2019B">
              <w:rPr>
                <w:sz w:val="14"/>
                <w:szCs w:val="14"/>
                <w:lang w:val="ru-RU"/>
              </w:rPr>
              <w:t xml:space="preserve"> </w:t>
            </w:r>
            <w:r w:rsidRPr="00A2019B">
              <w:rPr>
                <w:sz w:val="14"/>
                <w:szCs w:val="14"/>
                <w:lang w:val="ru-RU"/>
              </w:rPr>
              <w:t>"Россия буксует, причем буксует давно. Я на всех площадках говорил: как так получается, что мы 70 лет жили в одной стране, говорили на одном языке, кругом у нас друзья и родственники, и потом вдруг появляются какие-то американцы и выдергивают одну страну за другой из зоны исторической ответственности России. Они работают системно, а мы ничего не делаем", - добавил наш собеседник.</w:t>
            </w:r>
            <w:r w:rsidR="008D2810" w:rsidRPr="00A2019B">
              <w:rPr>
                <w:sz w:val="14"/>
                <w:szCs w:val="14"/>
                <w:lang w:val="ru-RU"/>
              </w:rPr>
              <w:t xml:space="preserve"> </w:t>
            </w:r>
            <w:r w:rsidRPr="00A2019B">
              <w:rPr>
                <w:sz w:val="14"/>
                <w:szCs w:val="14"/>
                <w:lang w:val="ru-RU"/>
              </w:rPr>
              <w:t>Комментируя отсутствие представителей новой власти на заседании клуба, Бабаян сказал, что весьма удивлен и огорчен этим. Лазаревский клуб собрал за одним столом солидных экспертов, мэтров своего дела, почти весь цвет российского экспертного сообщества, но нет практически никого из команды Пашиняна.</w:t>
            </w:r>
            <w:r w:rsidR="008D2810" w:rsidRPr="00A2019B">
              <w:rPr>
                <w:sz w:val="14"/>
                <w:szCs w:val="14"/>
                <w:lang w:val="ru-RU"/>
              </w:rPr>
              <w:t xml:space="preserve"> </w:t>
            </w:r>
            <w:r w:rsidRPr="00A2019B">
              <w:rPr>
                <w:sz w:val="14"/>
                <w:szCs w:val="14"/>
                <w:lang w:val="ru-RU"/>
              </w:rPr>
              <w:t xml:space="preserve">"Это была бы хорошая дополнительная площадка для того, чтобы услышать друг друга. И то, что здесь нет представителей власти, меня это огорчает. Пашинян ведь на каждом шагу говорит, что Россия – друг и стратегический партнер </w:t>
            </w:r>
            <w:hyperlink r:id="rId272">
              <w:r w:rsidRPr="00A2019B">
                <w:rPr>
                  <w:rStyle w:val="Collegamentoipertestuale"/>
                  <w:color w:val="auto"/>
                  <w:sz w:val="14"/>
                  <w:szCs w:val="14"/>
                  <w:u w:val="none"/>
                  <w:lang w:val="ru-RU"/>
                </w:rPr>
                <w:t>Армении</w:t>
              </w:r>
            </w:hyperlink>
            <w:r w:rsidRPr="00A2019B">
              <w:rPr>
                <w:sz w:val="14"/>
                <w:szCs w:val="14"/>
                <w:lang w:val="ru-RU"/>
              </w:rPr>
              <w:t>. Но никто из его представителей здесь не присутствует", - сказал Бабаян.</w:t>
            </w:r>
            <w:r w:rsidR="008D2810" w:rsidRPr="00A2019B">
              <w:rPr>
                <w:sz w:val="14"/>
                <w:szCs w:val="14"/>
                <w:lang w:val="ru-RU"/>
              </w:rPr>
              <w:t xml:space="preserve"> </w:t>
            </w:r>
            <w:r w:rsidRPr="00A2019B">
              <w:rPr>
                <w:sz w:val="14"/>
                <w:szCs w:val="14"/>
                <w:lang w:val="ru-RU"/>
              </w:rPr>
              <w:t>Журналисту самому было бы очень интересно пообщаться с и.о. премьер-министра. Бабаян сейчас снимает фильм о трагических событиях 1 марта 2008 года в Армении, и несколько раз безуспешно пытался взять интервью у Пашиняна, который был в гуще тех событий. Но последний отказался.</w:t>
            </w:r>
            <w:r w:rsidR="008D2810" w:rsidRPr="00A2019B">
              <w:rPr>
                <w:sz w:val="14"/>
                <w:szCs w:val="14"/>
                <w:lang w:val="ru-RU"/>
              </w:rPr>
              <w:t xml:space="preserve"> </w:t>
            </w:r>
            <w:r w:rsidRPr="00A2019B">
              <w:rPr>
                <w:sz w:val="14"/>
                <w:szCs w:val="14"/>
                <w:lang w:val="ru-RU"/>
              </w:rPr>
              <w:t>"Роберт Кочарян идет на интервью со мной. Ему не нравятся многие вопросы, которые я задавал, но он все равно согласился ответить. Мы также записали интервью с родственниками погибших. Но ни Пашинян, ни Левон Тер-Петросян на контакт не захотели идти", - посетовал журналист.</w:t>
            </w:r>
            <w:r w:rsidR="008D2810" w:rsidRPr="00A2019B">
              <w:rPr>
                <w:sz w:val="14"/>
                <w:szCs w:val="14"/>
                <w:lang w:val="ru-RU"/>
              </w:rPr>
              <w:t xml:space="preserve"> </w:t>
            </w:r>
            <w:r w:rsidRPr="00A2019B">
              <w:rPr>
                <w:sz w:val="14"/>
                <w:szCs w:val="14"/>
                <w:lang w:val="ru-RU"/>
              </w:rPr>
              <w:t>Напомним, 1-2 марта 2008 года, после президентских выборов в Армении начались митинги. Для их разгона власти применили силу. В ходе операции погибли 10 человек.</w:t>
            </w:r>
          </w:p>
        </w:tc>
      </w:tr>
      <w:tr w:rsidR="00A2019B" w:rsidRPr="00A2019B" w14:paraId="189F562C" w14:textId="77777777" w:rsidTr="00A2019B">
        <w:trPr>
          <w:trHeight w:val="1095"/>
          <w:jc w:val="center"/>
        </w:trPr>
        <w:tc>
          <w:tcPr>
            <w:tcW w:w="639" w:type="dxa"/>
          </w:tcPr>
          <w:p w14:paraId="6E78AF39" w14:textId="77777777" w:rsidR="00B2423C" w:rsidRPr="00A2019B" w:rsidRDefault="00B2423C" w:rsidP="00EB2D0C">
            <w:pPr>
              <w:ind w:firstLine="0"/>
              <w:jc w:val="center"/>
              <w:rPr>
                <w:b/>
                <w:sz w:val="14"/>
                <w:szCs w:val="14"/>
              </w:rPr>
            </w:pPr>
            <w:r w:rsidRPr="00A2019B">
              <w:rPr>
                <w:b/>
                <w:sz w:val="14"/>
                <w:szCs w:val="14"/>
              </w:rPr>
              <w:t>2020</w:t>
            </w:r>
          </w:p>
        </w:tc>
        <w:tc>
          <w:tcPr>
            <w:tcW w:w="1572" w:type="dxa"/>
          </w:tcPr>
          <w:p w14:paraId="26E7118C" w14:textId="77777777" w:rsidR="00B2423C" w:rsidRPr="00A2019B" w:rsidRDefault="00B2423C" w:rsidP="00EB2D0C">
            <w:pPr>
              <w:ind w:firstLine="0"/>
              <w:jc w:val="center"/>
              <w:rPr>
                <w:b/>
                <w:sz w:val="14"/>
                <w:szCs w:val="14"/>
              </w:rPr>
            </w:pPr>
            <w:r w:rsidRPr="00A2019B">
              <w:rPr>
                <w:b/>
                <w:sz w:val="14"/>
                <w:szCs w:val="14"/>
              </w:rPr>
              <w:t>Margarita Simonyan</w:t>
            </w:r>
          </w:p>
        </w:tc>
        <w:tc>
          <w:tcPr>
            <w:tcW w:w="1350" w:type="dxa"/>
          </w:tcPr>
          <w:p w14:paraId="0998FACF" w14:textId="1FF692E6" w:rsidR="00B2423C" w:rsidRPr="00A2019B" w:rsidRDefault="00B2423C" w:rsidP="00EB2D0C">
            <w:pPr>
              <w:ind w:firstLine="0"/>
              <w:jc w:val="center"/>
              <w:rPr>
                <w:b/>
                <w:sz w:val="14"/>
                <w:szCs w:val="14"/>
              </w:rPr>
            </w:pPr>
            <w:r w:rsidRPr="00A2019B">
              <w:rPr>
                <w:b/>
                <w:sz w:val="14"/>
                <w:szCs w:val="14"/>
              </w:rPr>
              <w:t>Semi-official</w:t>
            </w:r>
            <w:r w:rsidR="00A2019B">
              <w:rPr>
                <w:b/>
                <w:sz w:val="14"/>
                <w:szCs w:val="14"/>
              </w:rPr>
              <w:t xml:space="preserve"> </w:t>
            </w:r>
            <w:r w:rsidRPr="00A2019B">
              <w:rPr>
                <w:b/>
                <w:sz w:val="14"/>
                <w:szCs w:val="14"/>
              </w:rPr>
              <w:t>media figure</w:t>
            </w:r>
          </w:p>
        </w:tc>
        <w:tc>
          <w:tcPr>
            <w:tcW w:w="1690" w:type="dxa"/>
          </w:tcPr>
          <w:p w14:paraId="4CDA8D99" w14:textId="77777777" w:rsidR="00B2423C" w:rsidRPr="00A2019B" w:rsidRDefault="00B2423C" w:rsidP="00EB2D0C">
            <w:pPr>
              <w:ind w:firstLine="0"/>
              <w:jc w:val="center"/>
              <w:rPr>
                <w:b/>
                <w:sz w:val="14"/>
                <w:szCs w:val="14"/>
              </w:rPr>
            </w:pPr>
            <w:r w:rsidRPr="00A2019B">
              <w:rPr>
                <w:b/>
                <w:sz w:val="14"/>
                <w:szCs w:val="14"/>
              </w:rPr>
              <w:t>Telegram post</w:t>
            </w:r>
          </w:p>
        </w:tc>
        <w:tc>
          <w:tcPr>
            <w:tcW w:w="10337" w:type="dxa"/>
          </w:tcPr>
          <w:p w14:paraId="4F76B8E0" w14:textId="08AD144E" w:rsidR="00B2423C" w:rsidRPr="00A2019B" w:rsidRDefault="00B2423C" w:rsidP="00A2019B">
            <w:pPr>
              <w:jc w:val="center"/>
              <w:rPr>
                <w:sz w:val="14"/>
                <w:szCs w:val="14"/>
                <w:lang w:val="ru-RU"/>
              </w:rPr>
            </w:pPr>
            <w:r w:rsidRPr="00A2019B">
              <w:rPr>
                <w:sz w:val="14"/>
                <w:szCs w:val="14"/>
                <w:lang w:val="ru-RU"/>
              </w:rPr>
              <w:t>Я обращаюсь к армянской власти. Именно к власти, а не к народу, частью которого я являюсь.</w:t>
            </w:r>
            <w:r w:rsidR="001174E5" w:rsidRPr="00A2019B">
              <w:rPr>
                <w:sz w:val="14"/>
                <w:szCs w:val="14"/>
                <w:lang w:val="ru-RU"/>
              </w:rPr>
              <w:t xml:space="preserve"> </w:t>
            </w:r>
            <w:r w:rsidRPr="00A2019B">
              <w:rPr>
                <w:sz w:val="14"/>
                <w:szCs w:val="14"/>
                <w:lang w:val="ru-RU"/>
              </w:rPr>
              <w:t>Обращаюсь только потому, что ваши интернет-войска унавозили мои соцсети требованиями (в хамской и агрессивной форме) 'выразить свою позицию'.</w:t>
            </w:r>
            <w:r w:rsidR="001174E5" w:rsidRPr="00A2019B">
              <w:rPr>
                <w:sz w:val="14"/>
                <w:szCs w:val="14"/>
                <w:lang w:val="ru-RU"/>
              </w:rPr>
              <w:t xml:space="preserve"> </w:t>
            </w:r>
            <w:r w:rsidRPr="00A2019B">
              <w:rPr>
                <w:sz w:val="14"/>
                <w:szCs w:val="14"/>
                <w:lang w:val="ru-RU"/>
              </w:rPr>
              <w:t>Просили — выражаю.</w:t>
            </w:r>
            <w:r w:rsidR="001174E5" w:rsidRPr="00A2019B">
              <w:rPr>
                <w:sz w:val="14"/>
                <w:szCs w:val="14"/>
                <w:lang w:val="ru-RU"/>
              </w:rPr>
              <w:t xml:space="preserve"> </w:t>
            </w:r>
            <w:r w:rsidRPr="00A2019B">
              <w:rPr>
                <w:sz w:val="14"/>
                <w:szCs w:val="14"/>
                <w:lang w:val="ru-RU"/>
              </w:rPr>
              <w:t>Посмотрите на себя со стороны. Посмотрите, что вы творите. Как вы себя ведете. Какие же вы армяне?</w:t>
            </w:r>
            <w:r w:rsidR="001174E5" w:rsidRPr="00A2019B">
              <w:rPr>
                <w:sz w:val="14"/>
                <w:szCs w:val="14"/>
                <w:lang w:val="ru-RU"/>
              </w:rPr>
              <w:t xml:space="preserve"> </w:t>
            </w:r>
            <w:r w:rsidRPr="00A2019B">
              <w:rPr>
                <w:sz w:val="14"/>
                <w:szCs w:val="14"/>
                <w:lang w:val="ru-RU"/>
              </w:rPr>
              <w:t>Армяне — честный, благородный и благодарный народ. Всегда таким был. А вы ведете себя, как (ЗАПРЕЩЕНО РОСКОМНАДЗОРОМ).</w:t>
            </w:r>
            <w:r w:rsidR="001174E5" w:rsidRPr="00A2019B">
              <w:rPr>
                <w:sz w:val="14"/>
                <w:szCs w:val="14"/>
                <w:lang w:val="ru-RU"/>
              </w:rPr>
              <w:t xml:space="preserve"> </w:t>
            </w:r>
            <w:r w:rsidRPr="00A2019B">
              <w:rPr>
                <w:sz w:val="14"/>
                <w:szCs w:val="14"/>
                <w:lang w:val="ru-RU"/>
              </w:rPr>
              <w:t>В ответ на многолетнее добро и защиту, которые вы получали от России, вы не признали Крым. Потому что это внутреннее дело Армении.</w:t>
            </w:r>
            <w:r w:rsidR="001174E5" w:rsidRPr="00A2019B">
              <w:rPr>
                <w:sz w:val="14"/>
                <w:szCs w:val="14"/>
                <w:lang w:val="ru-RU"/>
              </w:rPr>
              <w:t xml:space="preserve"> </w:t>
            </w:r>
            <w:r w:rsidRPr="00A2019B">
              <w:rPr>
                <w:sz w:val="14"/>
                <w:szCs w:val="14"/>
                <w:lang w:val="ru-RU"/>
              </w:rPr>
              <w:t>Исключительно из политической мести вы посадили Роберта Кочаряна — неизменного союзника России. Посадили специально, демонстративно, плюнув прямо в лицо своим 'российским друзьям'. Потому что это внутреннее дело Армении.</w:t>
            </w:r>
            <w:r w:rsidR="001174E5" w:rsidRPr="00A2019B">
              <w:rPr>
                <w:sz w:val="14"/>
                <w:szCs w:val="14"/>
                <w:lang w:val="ru-RU"/>
              </w:rPr>
              <w:t xml:space="preserve"> </w:t>
            </w:r>
            <w:r w:rsidRPr="00A2019B">
              <w:rPr>
                <w:sz w:val="14"/>
                <w:szCs w:val="14"/>
                <w:lang w:val="ru-RU"/>
              </w:rPr>
              <w:t>Вы наводнили страну антироссийскими НКО, которые на вашей территории обучают молодежь, как свергать власть в России. Вы стали плацдармом антироссийских сил на Кавказе. Потому что это внутреннее дело Армении.Вы выгнали российских бизнесменов-армян. Вы не хотите у себя ничего, что связано с Россией. Потому что это внутреннее дело Армении.</w:t>
            </w:r>
            <w:r w:rsidR="001174E5" w:rsidRPr="00A2019B">
              <w:rPr>
                <w:sz w:val="14"/>
                <w:szCs w:val="14"/>
                <w:lang w:val="ru-RU"/>
              </w:rPr>
              <w:t xml:space="preserve"> </w:t>
            </w:r>
            <w:r w:rsidRPr="00A2019B">
              <w:rPr>
                <w:sz w:val="14"/>
                <w:szCs w:val="14"/>
                <w:lang w:val="ru-RU"/>
              </w:rPr>
              <w:t>Ваши медиа и соцсети ежечасно поливают помоями Россию, Путина, всех, кто поддерживает Путина, — особенно русских армян (например, меня). Вы разделили несчастный, и без того исчезающий армянский народ на врагов — русских армян — и 'настоящих' — тех, кто поддерживает вашу сиюминутную власть. Потому что это внутреннее дело Армении.</w:t>
            </w:r>
            <w:r w:rsidR="001174E5" w:rsidRPr="00A2019B">
              <w:rPr>
                <w:sz w:val="14"/>
                <w:szCs w:val="14"/>
                <w:lang w:val="ru-RU"/>
              </w:rPr>
              <w:t xml:space="preserve"> </w:t>
            </w:r>
            <w:r w:rsidRPr="00A2019B">
              <w:rPr>
                <w:sz w:val="14"/>
                <w:szCs w:val="14"/>
                <w:lang w:val="ru-RU"/>
              </w:rPr>
              <w:t>А теперь, когда на вашей границе война, когда само существование вашего режима под угрозой, когда армяне всего мира уже видят ожившие призраки янычар с кривыми ножами, которыми резали наших предков, вы вспомнили, что Россия снова должна вас спасать.</w:t>
            </w:r>
            <w:r w:rsidR="001174E5" w:rsidRPr="00A2019B">
              <w:rPr>
                <w:sz w:val="14"/>
                <w:szCs w:val="14"/>
                <w:lang w:val="ru-RU"/>
              </w:rPr>
              <w:t xml:space="preserve"> </w:t>
            </w:r>
            <w:r w:rsidRPr="00A2019B">
              <w:rPr>
                <w:sz w:val="14"/>
                <w:szCs w:val="14"/>
                <w:lang w:val="ru-RU"/>
              </w:rPr>
              <w:t>Разве это не внутреннее дело Армении?</w:t>
            </w:r>
            <w:r w:rsidR="001174E5" w:rsidRPr="00A2019B">
              <w:rPr>
                <w:sz w:val="14"/>
                <w:szCs w:val="14"/>
                <w:lang w:val="ru-RU"/>
              </w:rPr>
              <w:t xml:space="preserve"> </w:t>
            </w:r>
            <w:r w:rsidRPr="00A2019B">
              <w:rPr>
                <w:sz w:val="14"/>
                <w:szCs w:val="14"/>
                <w:lang w:val="ru-RU"/>
              </w:rPr>
              <w:t>После всего зла и захлебывающегося презрения, которое вы проявляли к России в последние годы, ваши информационные войска и вы сами считаете себя вправе ждать помощи?</w:t>
            </w:r>
            <w:r w:rsidR="001174E5" w:rsidRPr="00A2019B">
              <w:rPr>
                <w:sz w:val="14"/>
                <w:szCs w:val="14"/>
                <w:lang w:val="ru-RU"/>
              </w:rPr>
              <w:t xml:space="preserve"> </w:t>
            </w:r>
            <w:r w:rsidRPr="00A2019B">
              <w:rPr>
                <w:sz w:val="14"/>
                <w:szCs w:val="14"/>
                <w:lang w:val="ru-RU"/>
              </w:rPr>
              <w:t>На самом деле, после всего, что вы сделали, Россия имеет полное моральное право плюнуть на вас и растереть.</w:t>
            </w:r>
            <w:r w:rsidR="001174E5" w:rsidRPr="00A2019B">
              <w:rPr>
                <w:sz w:val="14"/>
                <w:szCs w:val="14"/>
                <w:lang w:val="ru-RU"/>
              </w:rPr>
              <w:t xml:space="preserve"> </w:t>
            </w:r>
            <w:r w:rsidRPr="00A2019B">
              <w:rPr>
                <w:sz w:val="14"/>
                <w:szCs w:val="14"/>
                <w:lang w:val="ru-RU"/>
              </w:rPr>
              <w:t>Но она так не поступит. Я уверена. Поможет и в этот раз.Потому что Россия — такая. Великодушная и благородная, Родина моя, ненаглядная.</w:t>
            </w:r>
            <w:r w:rsidR="00901745" w:rsidRPr="00A2019B">
              <w:rPr>
                <w:sz w:val="14"/>
                <w:szCs w:val="14"/>
                <w:lang w:val="ru-RU"/>
              </w:rPr>
              <w:t xml:space="preserve"> </w:t>
            </w:r>
            <w:r w:rsidRPr="00A2019B">
              <w:rPr>
                <w:sz w:val="14"/>
                <w:szCs w:val="14"/>
                <w:lang w:val="ru-RU"/>
              </w:rPr>
              <w:t>А вы — просто горстка вопящих политиканов, предавших интересы великого армянского народа ради минуты власти и мелкой личной мести.</w:t>
            </w:r>
            <w:r w:rsidR="00901745" w:rsidRPr="00A2019B">
              <w:rPr>
                <w:sz w:val="14"/>
                <w:szCs w:val="14"/>
                <w:lang w:val="ru-RU"/>
              </w:rPr>
              <w:t xml:space="preserve"> </w:t>
            </w:r>
            <w:r w:rsidRPr="00A2019B">
              <w:rPr>
                <w:sz w:val="14"/>
                <w:szCs w:val="14"/>
                <w:lang w:val="ru-RU"/>
              </w:rPr>
              <w:t>Почитайте на ночь Нарекаци. Может, проснутся у вас остатки знаменитой армянской совестливости и умения ценить добро.</w:t>
            </w:r>
            <w:r w:rsidR="00901745" w:rsidRPr="00A2019B">
              <w:rPr>
                <w:sz w:val="14"/>
                <w:szCs w:val="14"/>
                <w:lang w:val="ru-RU"/>
              </w:rPr>
              <w:t xml:space="preserve"> </w:t>
            </w:r>
            <w:r w:rsidRPr="00A2019B">
              <w:rPr>
                <w:sz w:val="14"/>
                <w:szCs w:val="14"/>
                <w:lang w:val="ru-RU"/>
              </w:rPr>
              <w:t>Если нет у вас Нарекаци — так я передам. У меня на тумбочке лежит.</w:t>
            </w:r>
            <w:r w:rsidR="00901745" w:rsidRPr="00A2019B">
              <w:rPr>
                <w:sz w:val="14"/>
                <w:szCs w:val="14"/>
                <w:lang w:val="ru-RU"/>
              </w:rPr>
              <w:t xml:space="preserve"> </w:t>
            </w:r>
            <w:r w:rsidRPr="00A2019B">
              <w:rPr>
                <w:sz w:val="14"/>
                <w:szCs w:val="14"/>
                <w:lang w:val="ru-RU"/>
              </w:rPr>
              <w:t xml:space="preserve">А по поводу войны обеим сторонам я скажу только одно: остановитесь! Хуже войны нет ничего. Я это на своей шкуре знаю. </w:t>
            </w:r>
            <w:r w:rsidRPr="00A2019B">
              <w:rPr>
                <w:sz w:val="14"/>
                <w:szCs w:val="14"/>
              </w:rPr>
              <w:t>Просто остановитесь, пока не поздно.</w:t>
            </w:r>
          </w:p>
        </w:tc>
      </w:tr>
      <w:tr w:rsidR="00A2019B" w:rsidRPr="00355242" w14:paraId="25DDDCBB" w14:textId="77777777" w:rsidTr="00A2019B">
        <w:trPr>
          <w:trHeight w:val="300"/>
          <w:jc w:val="center"/>
        </w:trPr>
        <w:tc>
          <w:tcPr>
            <w:tcW w:w="639" w:type="dxa"/>
          </w:tcPr>
          <w:p w14:paraId="33B9A5EF" w14:textId="77777777" w:rsidR="00B2423C" w:rsidRPr="00A2019B" w:rsidRDefault="00B2423C" w:rsidP="00EB2D0C">
            <w:pPr>
              <w:ind w:firstLine="0"/>
              <w:jc w:val="center"/>
              <w:rPr>
                <w:b/>
                <w:sz w:val="14"/>
                <w:szCs w:val="14"/>
              </w:rPr>
            </w:pPr>
            <w:r w:rsidRPr="00A2019B">
              <w:rPr>
                <w:b/>
                <w:sz w:val="14"/>
                <w:szCs w:val="14"/>
              </w:rPr>
              <w:t>2020</w:t>
            </w:r>
          </w:p>
        </w:tc>
        <w:tc>
          <w:tcPr>
            <w:tcW w:w="1572" w:type="dxa"/>
          </w:tcPr>
          <w:p w14:paraId="741F9464" w14:textId="77777777" w:rsidR="00B2423C" w:rsidRPr="00A2019B" w:rsidRDefault="00B2423C" w:rsidP="00EB2D0C">
            <w:pPr>
              <w:ind w:firstLine="0"/>
              <w:jc w:val="center"/>
              <w:rPr>
                <w:b/>
                <w:sz w:val="14"/>
                <w:szCs w:val="14"/>
              </w:rPr>
            </w:pPr>
            <w:r w:rsidRPr="00A2019B">
              <w:rPr>
                <w:b/>
                <w:sz w:val="14"/>
                <w:szCs w:val="14"/>
              </w:rPr>
              <w:t>Vladimir Putin</w:t>
            </w:r>
          </w:p>
        </w:tc>
        <w:tc>
          <w:tcPr>
            <w:tcW w:w="1350" w:type="dxa"/>
          </w:tcPr>
          <w:p w14:paraId="7A8CC6F9" w14:textId="77777777" w:rsidR="00B2423C" w:rsidRPr="00A2019B" w:rsidRDefault="00B2423C" w:rsidP="00EB2D0C">
            <w:pPr>
              <w:ind w:firstLine="0"/>
              <w:jc w:val="center"/>
              <w:rPr>
                <w:b/>
                <w:sz w:val="14"/>
                <w:szCs w:val="14"/>
              </w:rPr>
            </w:pPr>
            <w:r w:rsidRPr="00A2019B">
              <w:rPr>
                <w:b/>
                <w:sz w:val="14"/>
                <w:szCs w:val="14"/>
              </w:rPr>
              <w:t>Official</w:t>
            </w:r>
          </w:p>
        </w:tc>
        <w:tc>
          <w:tcPr>
            <w:tcW w:w="1690" w:type="dxa"/>
          </w:tcPr>
          <w:p w14:paraId="05BA2809" w14:textId="77777777" w:rsidR="00B2423C" w:rsidRPr="00A2019B" w:rsidRDefault="00B2423C" w:rsidP="00EB2D0C">
            <w:pPr>
              <w:ind w:firstLine="0"/>
              <w:jc w:val="center"/>
              <w:rPr>
                <w:b/>
                <w:sz w:val="14"/>
                <w:szCs w:val="14"/>
              </w:rPr>
            </w:pPr>
            <w:r w:rsidRPr="00A2019B">
              <w:rPr>
                <w:b/>
                <w:sz w:val="14"/>
                <w:szCs w:val="14"/>
              </w:rPr>
              <w:t>Press conference</w:t>
            </w:r>
          </w:p>
        </w:tc>
        <w:tc>
          <w:tcPr>
            <w:tcW w:w="10337" w:type="dxa"/>
          </w:tcPr>
          <w:p w14:paraId="4CC1120A" w14:textId="68AFAD0A" w:rsidR="00B2423C" w:rsidRPr="00A2019B" w:rsidRDefault="00B2423C" w:rsidP="00A2019B">
            <w:pPr>
              <w:jc w:val="center"/>
              <w:rPr>
                <w:sz w:val="14"/>
                <w:szCs w:val="14"/>
                <w:lang w:val="ru-RU"/>
              </w:rPr>
            </w:pPr>
            <w:r w:rsidRPr="00A2019B">
              <w:rPr>
                <w:sz w:val="14"/>
                <w:szCs w:val="14"/>
                <w:lang w:val="ru-RU"/>
              </w:rPr>
              <w:t>Вопрос: Владимир Владимирович, вот уже неделя прошла с момента подписания важнейшего</w:t>
            </w:r>
            <w:r w:rsidR="00901745" w:rsidRPr="00A2019B">
              <w:rPr>
                <w:sz w:val="14"/>
                <w:szCs w:val="14"/>
                <w:lang w:val="ru-RU"/>
              </w:rPr>
              <w:t xml:space="preserve"> </w:t>
            </w:r>
            <w:r w:rsidRPr="00A2019B">
              <w:rPr>
                <w:sz w:val="14"/>
                <w:szCs w:val="14"/>
                <w:lang w:val="ru-RU"/>
              </w:rPr>
              <w:t>заявления между Азербайджаном, Арменией и Россией. Как Вы сейчас оцениваете ход его</w:t>
            </w:r>
            <w:r w:rsidR="00901745" w:rsidRPr="00A2019B">
              <w:rPr>
                <w:sz w:val="14"/>
                <w:szCs w:val="14"/>
                <w:lang w:val="ru-RU"/>
              </w:rPr>
              <w:t xml:space="preserve"> </w:t>
            </w:r>
            <w:r w:rsidRPr="00A2019B">
              <w:rPr>
                <w:sz w:val="14"/>
                <w:szCs w:val="14"/>
                <w:lang w:val="ru-RU"/>
              </w:rPr>
              <w:t>выполнения? Что успешно? В чём может быть проблема? Но самое главное – позволит ли,</w:t>
            </w:r>
            <w:r w:rsidR="00901745" w:rsidRPr="00A2019B">
              <w:rPr>
                <w:sz w:val="14"/>
                <w:szCs w:val="14"/>
                <w:lang w:val="ru-RU"/>
              </w:rPr>
              <w:t xml:space="preserve"> </w:t>
            </w:r>
            <w:r w:rsidRPr="00A2019B">
              <w:rPr>
                <w:sz w:val="14"/>
                <w:szCs w:val="14"/>
                <w:lang w:val="ru-RU"/>
              </w:rPr>
              <w:t>на Ваш взгляд, это соглашение разрубить тот очень тугой узел, столь давний и очень тяжёлый</w:t>
            </w:r>
            <w:r w:rsidR="00901745" w:rsidRPr="00A2019B">
              <w:rPr>
                <w:sz w:val="14"/>
                <w:szCs w:val="14"/>
                <w:lang w:val="ru-RU"/>
              </w:rPr>
              <w:t xml:space="preserve"> </w:t>
            </w:r>
            <w:r w:rsidRPr="00A2019B">
              <w:rPr>
                <w:sz w:val="14"/>
                <w:szCs w:val="14"/>
                <w:lang w:val="ru-RU"/>
              </w:rPr>
              <w:t>вопрос, когда, как Вы сами говорили, у каждой стороны своя правда?</w:t>
            </w:r>
            <w:r w:rsidR="00901745" w:rsidRPr="00A2019B">
              <w:rPr>
                <w:sz w:val="14"/>
                <w:szCs w:val="14"/>
                <w:lang w:val="ru-RU"/>
              </w:rPr>
              <w:t xml:space="preserve"> </w:t>
            </w:r>
            <w:r w:rsidRPr="00A2019B">
              <w:rPr>
                <w:sz w:val="14"/>
                <w:szCs w:val="14"/>
                <w:lang w:val="ru-RU"/>
              </w:rPr>
              <w:t>В.Путин: Самое главное, что удалось сделать, – это прекратить кровопролитие. Я уже говорил,</w:t>
            </w:r>
            <w:r w:rsidR="00901745" w:rsidRPr="00A2019B">
              <w:rPr>
                <w:sz w:val="14"/>
                <w:szCs w:val="14"/>
                <w:lang w:val="ru-RU"/>
              </w:rPr>
              <w:t xml:space="preserve"> </w:t>
            </w:r>
            <w:r w:rsidRPr="00A2019B">
              <w:rPr>
                <w:sz w:val="14"/>
                <w:szCs w:val="14"/>
                <w:lang w:val="ru-RU"/>
              </w:rPr>
              <w:t>свыше четырёх тысяч человек погибло, только по официальным данным. На самом деле,</w:t>
            </w:r>
            <w:r w:rsidR="00901745" w:rsidRPr="00A2019B">
              <w:rPr>
                <w:sz w:val="14"/>
                <w:szCs w:val="14"/>
                <w:lang w:val="ru-RU"/>
              </w:rPr>
              <w:t xml:space="preserve"> </w:t>
            </w:r>
            <w:r w:rsidRPr="00A2019B">
              <w:rPr>
                <w:sz w:val="14"/>
                <w:szCs w:val="14"/>
                <w:lang w:val="ru-RU"/>
              </w:rPr>
              <w:t>я думаю, больше. Десятки тысяч ранены, искалечены. Послушайте, это же не кино. Это</w:t>
            </w:r>
            <w:r w:rsidR="00901745" w:rsidRPr="00A2019B">
              <w:rPr>
                <w:sz w:val="14"/>
                <w:szCs w:val="14"/>
                <w:lang w:val="ru-RU"/>
              </w:rPr>
              <w:t xml:space="preserve"> </w:t>
            </w:r>
            <w:r w:rsidRPr="00A2019B">
              <w:rPr>
                <w:sz w:val="14"/>
                <w:szCs w:val="14"/>
                <w:lang w:val="ru-RU"/>
              </w:rPr>
              <w:t>трагедия, которая происходит в жизни с конкретными людьми, с конкретными семьями. Поэтому</w:t>
            </w:r>
            <w:r w:rsidR="00901745" w:rsidRPr="00A2019B">
              <w:rPr>
                <w:sz w:val="14"/>
                <w:szCs w:val="14"/>
                <w:lang w:val="ru-RU"/>
              </w:rPr>
              <w:t xml:space="preserve"> </w:t>
            </w:r>
            <w:r w:rsidRPr="00A2019B">
              <w:rPr>
                <w:sz w:val="14"/>
                <w:szCs w:val="14"/>
                <w:lang w:val="ru-RU"/>
              </w:rPr>
              <w:t>прекращение кровопролития – это главный результат.</w:t>
            </w:r>
            <w:r w:rsidR="00901745" w:rsidRPr="00A2019B">
              <w:rPr>
                <w:sz w:val="14"/>
                <w:szCs w:val="14"/>
                <w:lang w:val="ru-RU"/>
              </w:rPr>
              <w:t xml:space="preserve"> </w:t>
            </w:r>
            <w:r w:rsidRPr="00A2019B">
              <w:rPr>
                <w:sz w:val="14"/>
                <w:szCs w:val="14"/>
                <w:lang w:val="ru-RU"/>
              </w:rPr>
              <w:t>Но для того, чтобы понять, что происходит, нам придётся всё-таки вернуться назад, в историю,</w:t>
            </w:r>
            <w:r w:rsidR="00901745" w:rsidRPr="00A2019B">
              <w:rPr>
                <w:sz w:val="14"/>
                <w:szCs w:val="14"/>
                <w:lang w:val="ru-RU"/>
              </w:rPr>
              <w:t xml:space="preserve"> </w:t>
            </w:r>
            <w:r w:rsidRPr="00A2019B">
              <w:rPr>
                <w:sz w:val="14"/>
                <w:szCs w:val="14"/>
                <w:lang w:val="ru-RU"/>
              </w:rPr>
              <w:t>буквально в двух словах. Я вынужден напомнить, что всё это началось уже в далёком</w:t>
            </w:r>
            <w:r w:rsidR="00901745" w:rsidRPr="00A2019B">
              <w:rPr>
                <w:sz w:val="14"/>
                <w:szCs w:val="14"/>
                <w:lang w:val="ru-RU"/>
              </w:rPr>
              <w:t xml:space="preserve"> </w:t>
            </w:r>
            <w:r w:rsidRPr="00A2019B">
              <w:rPr>
                <w:sz w:val="14"/>
                <w:szCs w:val="14"/>
                <w:lang w:val="ru-RU"/>
              </w:rPr>
              <w:t>1988 году, когда произошли столкновения на этнической почве в азербайджанском городе</w:t>
            </w:r>
            <w:r w:rsidR="00901745" w:rsidRPr="00A2019B">
              <w:rPr>
                <w:sz w:val="14"/>
                <w:szCs w:val="14"/>
                <w:lang w:val="ru-RU"/>
              </w:rPr>
              <w:t xml:space="preserve"> </w:t>
            </w:r>
            <w:r w:rsidRPr="00A2019B">
              <w:rPr>
                <w:sz w:val="14"/>
                <w:szCs w:val="14"/>
                <w:lang w:val="ru-RU"/>
              </w:rPr>
              <w:t>Сумгаите. Тогда пострадало гражданское население, армянское, потом эти события</w:t>
            </w:r>
            <w:r w:rsidR="00901745" w:rsidRPr="00A2019B">
              <w:rPr>
                <w:sz w:val="14"/>
                <w:szCs w:val="14"/>
                <w:lang w:val="ru-RU"/>
              </w:rPr>
              <w:t xml:space="preserve"> </w:t>
            </w:r>
            <w:r w:rsidRPr="00A2019B">
              <w:rPr>
                <w:sz w:val="14"/>
                <w:szCs w:val="14"/>
                <w:lang w:val="ru-RU"/>
              </w:rPr>
              <w:t>перекинулись на Нагорный Карабах.</w:t>
            </w:r>
            <w:r w:rsidR="00901745" w:rsidRPr="00A2019B">
              <w:rPr>
                <w:sz w:val="14"/>
                <w:szCs w:val="14"/>
                <w:lang w:val="ru-RU"/>
              </w:rPr>
              <w:t xml:space="preserve"> </w:t>
            </w:r>
            <w:r w:rsidRPr="00A2019B">
              <w:rPr>
                <w:sz w:val="14"/>
                <w:szCs w:val="14"/>
                <w:lang w:val="ru-RU"/>
              </w:rPr>
              <w:t>И поскольку тогдашнее руководство Советского Союза не отреагировало должным образом</w:t>
            </w:r>
            <w:r w:rsidR="00901745" w:rsidRPr="00A2019B">
              <w:rPr>
                <w:sz w:val="14"/>
                <w:szCs w:val="14"/>
                <w:lang w:val="ru-RU"/>
              </w:rPr>
              <w:t xml:space="preserve"> </w:t>
            </w:r>
            <w:r w:rsidRPr="00A2019B">
              <w:rPr>
                <w:sz w:val="14"/>
                <w:szCs w:val="14"/>
                <w:lang w:val="ru-RU"/>
              </w:rPr>
              <w:t>на происходящие события… Повторю ещё раз: это вещи тонкие, здесь я не хочу занимать чьюто сторону, кто там прав, кто виноват, сейчас вообще невозможно сказать, но навести порядок</w:t>
            </w:r>
            <w:r w:rsidR="00901745" w:rsidRPr="00A2019B">
              <w:rPr>
                <w:sz w:val="14"/>
                <w:szCs w:val="14"/>
                <w:lang w:val="ru-RU"/>
              </w:rPr>
              <w:t xml:space="preserve"> </w:t>
            </w:r>
            <w:r w:rsidRPr="00A2019B">
              <w:rPr>
                <w:sz w:val="14"/>
                <w:szCs w:val="14"/>
                <w:lang w:val="ru-RU"/>
              </w:rPr>
              <w:t>нужно было, защитить людей надо было, гражданское население. Этого сделано не было.</w:t>
            </w:r>
            <w:r w:rsidR="00901745" w:rsidRPr="00A2019B">
              <w:rPr>
                <w:sz w:val="14"/>
                <w:szCs w:val="14"/>
                <w:lang w:val="ru-RU"/>
              </w:rPr>
              <w:t xml:space="preserve"> </w:t>
            </w:r>
            <w:r w:rsidRPr="00A2019B">
              <w:rPr>
                <w:sz w:val="14"/>
                <w:szCs w:val="14"/>
                <w:lang w:val="ru-RU"/>
              </w:rPr>
              <w:t>И тогда армяне сами взялись за оружие, и начался этот затяжной, по сути дела, многолетний</w:t>
            </w:r>
            <w:r w:rsidR="00901745" w:rsidRPr="00A2019B">
              <w:rPr>
                <w:sz w:val="14"/>
                <w:szCs w:val="14"/>
                <w:lang w:val="ru-RU"/>
              </w:rPr>
              <w:t xml:space="preserve"> </w:t>
            </w:r>
            <w:r w:rsidRPr="00A2019B">
              <w:rPr>
                <w:sz w:val="14"/>
                <w:szCs w:val="14"/>
                <w:lang w:val="ru-RU"/>
              </w:rPr>
              <w:t>конфликт, который привёл к тому, что в 1991 году Карабах объявил о своей независимости,</w:t>
            </w:r>
            <w:r w:rsidR="00901745" w:rsidRPr="00A2019B">
              <w:rPr>
                <w:sz w:val="14"/>
                <w:szCs w:val="14"/>
                <w:lang w:val="ru-RU"/>
              </w:rPr>
              <w:t xml:space="preserve"> </w:t>
            </w:r>
            <w:r w:rsidRPr="00A2019B">
              <w:rPr>
                <w:sz w:val="14"/>
                <w:szCs w:val="14"/>
                <w:lang w:val="ru-RU"/>
              </w:rPr>
              <w:t>суверенитете, самостоятельности, а в 1994 году были подписаны бишкекские соглашения,</w:t>
            </w:r>
            <w:r w:rsidR="00901745" w:rsidRPr="00A2019B">
              <w:rPr>
                <w:sz w:val="14"/>
                <w:szCs w:val="14"/>
                <w:lang w:val="ru-RU"/>
              </w:rPr>
              <w:t xml:space="preserve"> </w:t>
            </w:r>
            <w:r w:rsidRPr="00A2019B">
              <w:rPr>
                <w:sz w:val="14"/>
                <w:szCs w:val="14"/>
                <w:lang w:val="ru-RU"/>
              </w:rPr>
              <w:t>бишкекский меморандум, который прекратил боевые действия на тот момент времени. А что</w:t>
            </w:r>
            <w:r w:rsidR="00901745" w:rsidRPr="00A2019B">
              <w:rPr>
                <w:sz w:val="14"/>
                <w:szCs w:val="14"/>
                <w:lang w:val="ru-RU"/>
              </w:rPr>
              <w:t xml:space="preserve"> </w:t>
            </w:r>
            <w:r w:rsidRPr="00A2019B">
              <w:rPr>
                <w:sz w:val="14"/>
                <w:szCs w:val="14"/>
                <w:lang w:val="ru-RU"/>
              </w:rPr>
              <w:t>было в результате? В результате Карабах объявил о своей независимости, как я уже сказал,</w:t>
            </w:r>
            <w:r w:rsidR="00901745" w:rsidRPr="00A2019B">
              <w:rPr>
                <w:sz w:val="14"/>
                <w:szCs w:val="14"/>
                <w:lang w:val="ru-RU"/>
              </w:rPr>
              <w:t xml:space="preserve"> </w:t>
            </w:r>
            <w:r w:rsidRPr="00A2019B">
              <w:rPr>
                <w:sz w:val="14"/>
                <w:szCs w:val="14"/>
                <w:lang w:val="ru-RU"/>
              </w:rPr>
              <w:t>и ещё семь прилегающих к нему районов перешли под контроль армян, по сути, под контроль</w:t>
            </w:r>
            <w:r w:rsidR="00901745" w:rsidRPr="00A2019B">
              <w:rPr>
                <w:sz w:val="14"/>
                <w:szCs w:val="14"/>
                <w:lang w:val="ru-RU"/>
              </w:rPr>
              <w:t xml:space="preserve"> </w:t>
            </w:r>
            <w:r w:rsidRPr="00A2019B">
              <w:rPr>
                <w:sz w:val="14"/>
                <w:szCs w:val="14"/>
                <w:lang w:val="ru-RU"/>
              </w:rPr>
              <w:t>Армении.</w:t>
            </w:r>
            <w:r w:rsidR="00901745" w:rsidRPr="00A2019B">
              <w:rPr>
                <w:sz w:val="14"/>
                <w:szCs w:val="14"/>
                <w:lang w:val="ru-RU"/>
              </w:rPr>
              <w:t xml:space="preserve"> </w:t>
            </w:r>
            <w:r w:rsidRPr="00A2019B">
              <w:rPr>
                <w:sz w:val="14"/>
                <w:szCs w:val="14"/>
                <w:lang w:val="ru-RU"/>
              </w:rPr>
              <w:t>Вот, собственно говоря, это то, что досталось нам из прошлого, и то, что надо было решить.</w:t>
            </w:r>
            <w:r w:rsidR="00901745" w:rsidRPr="00A2019B">
              <w:rPr>
                <w:sz w:val="14"/>
                <w:szCs w:val="14"/>
                <w:lang w:val="ru-RU"/>
              </w:rPr>
              <w:t xml:space="preserve"> </w:t>
            </w:r>
            <w:r w:rsidRPr="00A2019B">
              <w:rPr>
                <w:sz w:val="14"/>
                <w:szCs w:val="14"/>
                <w:lang w:val="ru-RU"/>
              </w:rPr>
              <w:t>На мой взгляд, то, что прекратились боевые действия и, что очень важно, договорились</w:t>
            </w:r>
            <w:r w:rsidR="00901745" w:rsidRPr="00A2019B">
              <w:rPr>
                <w:sz w:val="14"/>
                <w:szCs w:val="14"/>
                <w:lang w:val="ru-RU"/>
              </w:rPr>
              <w:t xml:space="preserve"> </w:t>
            </w:r>
            <w:r w:rsidRPr="00A2019B">
              <w:rPr>
                <w:sz w:val="14"/>
                <w:szCs w:val="14"/>
                <w:lang w:val="ru-RU"/>
              </w:rPr>
              <w:t>о разблокировании всех транспортных коммуникаций, восстановлении экономических связей, –</w:t>
            </w:r>
            <w:r w:rsidR="00901745" w:rsidRPr="00A2019B">
              <w:rPr>
                <w:sz w:val="14"/>
                <w:szCs w:val="14"/>
                <w:lang w:val="ru-RU"/>
              </w:rPr>
              <w:t xml:space="preserve"> </w:t>
            </w:r>
            <w:r w:rsidRPr="00A2019B">
              <w:rPr>
                <w:sz w:val="14"/>
                <w:szCs w:val="14"/>
                <w:lang w:val="ru-RU"/>
              </w:rPr>
              <w:t>на мой взгляд, это чрезвычайно важно и это создаёт хорошую базу для нормализации</w:t>
            </w:r>
            <w:r w:rsidR="00901745" w:rsidRPr="00A2019B">
              <w:rPr>
                <w:sz w:val="14"/>
                <w:szCs w:val="14"/>
                <w:lang w:val="ru-RU"/>
              </w:rPr>
              <w:t xml:space="preserve"> </w:t>
            </w:r>
            <w:r w:rsidRPr="00A2019B">
              <w:rPr>
                <w:sz w:val="14"/>
                <w:szCs w:val="14"/>
                <w:lang w:val="ru-RU"/>
              </w:rPr>
              <w:t>отношений на длительную перспективу.Реплика: Возвращаясь к истории: ведь и статус Карабаха тогда никто не признал.</w:t>
            </w:r>
            <w:r w:rsidR="00901745" w:rsidRPr="00A2019B">
              <w:rPr>
                <w:sz w:val="14"/>
                <w:szCs w:val="14"/>
                <w:lang w:val="ru-RU"/>
              </w:rPr>
              <w:t xml:space="preserve"> </w:t>
            </w:r>
            <w:r w:rsidRPr="00A2019B">
              <w:rPr>
                <w:sz w:val="14"/>
                <w:szCs w:val="14"/>
                <w:lang w:val="ru-RU"/>
              </w:rPr>
              <w:t>В.Путин: Это правда: ни тогда, ни позже никто не признал. Кстати говоря, не признала и сама</w:t>
            </w:r>
            <w:r w:rsidR="00901745" w:rsidRPr="00A2019B">
              <w:rPr>
                <w:sz w:val="14"/>
                <w:szCs w:val="14"/>
                <w:lang w:val="ru-RU"/>
              </w:rPr>
              <w:t xml:space="preserve"> </w:t>
            </w:r>
            <w:r w:rsidRPr="00A2019B">
              <w:rPr>
                <w:sz w:val="14"/>
                <w:szCs w:val="14"/>
                <w:lang w:val="ru-RU"/>
              </w:rPr>
              <w:t>Армения.</w:t>
            </w:r>
            <w:r w:rsidR="00901745" w:rsidRPr="00A2019B">
              <w:rPr>
                <w:sz w:val="14"/>
                <w:szCs w:val="14"/>
                <w:lang w:val="ru-RU"/>
              </w:rPr>
              <w:t xml:space="preserve"> </w:t>
            </w:r>
            <w:r w:rsidRPr="00A2019B">
              <w:rPr>
                <w:sz w:val="14"/>
                <w:szCs w:val="14"/>
                <w:lang w:val="ru-RU"/>
              </w:rPr>
              <w:t>Вопрос: Сейчас вообще существует ли проблема статуса Карабаха?</w:t>
            </w:r>
            <w:r w:rsidR="00901745" w:rsidRPr="00A2019B">
              <w:rPr>
                <w:sz w:val="14"/>
                <w:szCs w:val="14"/>
                <w:lang w:val="ru-RU"/>
              </w:rPr>
              <w:t xml:space="preserve"> </w:t>
            </w:r>
            <w:r w:rsidRPr="00A2019B">
              <w:rPr>
                <w:sz w:val="14"/>
                <w:szCs w:val="14"/>
                <w:lang w:val="ru-RU"/>
              </w:rPr>
              <w:t>В.Путин: Да, такая проблема существует, окончательный статус Карабаха не урегулирован. Мы</w:t>
            </w:r>
            <w:r w:rsidR="00901745" w:rsidRPr="00A2019B">
              <w:rPr>
                <w:sz w:val="14"/>
                <w:szCs w:val="14"/>
                <w:lang w:val="ru-RU"/>
              </w:rPr>
              <w:t xml:space="preserve"> </w:t>
            </w:r>
            <w:r w:rsidRPr="00A2019B">
              <w:rPr>
                <w:sz w:val="14"/>
                <w:szCs w:val="14"/>
                <w:lang w:val="ru-RU"/>
              </w:rPr>
              <w:t>договорились о том, что мы сохраняем статус-кво, на сегодняшний день существующее</w:t>
            </w:r>
            <w:r w:rsidR="00901745" w:rsidRPr="00A2019B">
              <w:rPr>
                <w:sz w:val="14"/>
                <w:szCs w:val="14"/>
                <w:lang w:val="ru-RU"/>
              </w:rPr>
              <w:t xml:space="preserve"> </w:t>
            </w:r>
            <w:r w:rsidRPr="00A2019B">
              <w:rPr>
                <w:sz w:val="14"/>
                <w:szCs w:val="14"/>
                <w:lang w:val="ru-RU"/>
              </w:rPr>
              <w:t>положение. Что будет дальше – это предстоит решить в будущем или будущим руководителям,</w:t>
            </w:r>
            <w:r w:rsidR="00901745" w:rsidRPr="00A2019B">
              <w:rPr>
                <w:sz w:val="14"/>
                <w:szCs w:val="14"/>
                <w:lang w:val="ru-RU"/>
              </w:rPr>
              <w:t xml:space="preserve"> </w:t>
            </w:r>
            <w:r w:rsidRPr="00A2019B">
              <w:rPr>
                <w:sz w:val="14"/>
                <w:szCs w:val="14"/>
                <w:lang w:val="ru-RU"/>
              </w:rPr>
              <w:t>будущим участникам этого процесса. Но, на мой взгляд, если будут созданы условия для</w:t>
            </w:r>
            <w:r w:rsidR="00901745" w:rsidRPr="00A2019B">
              <w:rPr>
                <w:sz w:val="14"/>
                <w:szCs w:val="14"/>
                <w:lang w:val="ru-RU"/>
              </w:rPr>
              <w:t xml:space="preserve"> </w:t>
            </w:r>
            <w:r w:rsidRPr="00A2019B">
              <w:rPr>
                <w:sz w:val="14"/>
                <w:szCs w:val="14"/>
                <w:lang w:val="ru-RU"/>
              </w:rPr>
              <w:t>нормальной жизни, для восстановления отношений между Армений и Азербайджаном, между</w:t>
            </w:r>
            <w:r w:rsidR="00D87E12" w:rsidRPr="00A2019B">
              <w:rPr>
                <w:sz w:val="14"/>
                <w:szCs w:val="14"/>
                <w:lang w:val="ru-RU"/>
              </w:rPr>
              <w:t xml:space="preserve"> </w:t>
            </w:r>
            <w:r w:rsidRPr="00A2019B">
              <w:rPr>
                <w:sz w:val="14"/>
                <w:szCs w:val="14"/>
                <w:lang w:val="ru-RU"/>
              </w:rPr>
              <w:t>людьми на бытовом уровне, особенно в зоне конфликта, то это создаст условия и для</w:t>
            </w:r>
            <w:r w:rsidR="00D87E12" w:rsidRPr="00A2019B">
              <w:rPr>
                <w:sz w:val="14"/>
                <w:szCs w:val="14"/>
                <w:lang w:val="ru-RU"/>
              </w:rPr>
              <w:t xml:space="preserve"> </w:t>
            </w:r>
            <w:r w:rsidRPr="00A2019B">
              <w:rPr>
                <w:sz w:val="14"/>
                <w:szCs w:val="14"/>
                <w:lang w:val="ru-RU"/>
              </w:rPr>
              <w:t>определения статуса Карабаха.</w:t>
            </w:r>
            <w:r w:rsidR="00D87E12" w:rsidRPr="00A2019B">
              <w:rPr>
                <w:sz w:val="14"/>
                <w:szCs w:val="14"/>
                <w:lang w:val="ru-RU"/>
              </w:rPr>
              <w:t xml:space="preserve"> </w:t>
            </w:r>
            <w:r w:rsidRPr="00A2019B">
              <w:rPr>
                <w:sz w:val="14"/>
                <w:szCs w:val="14"/>
                <w:lang w:val="ru-RU"/>
              </w:rPr>
              <w:t>Что касается признания-непризнания Карабаха в качестве независимого, самостоятельного</w:t>
            </w:r>
            <w:r w:rsidR="00D87E12" w:rsidRPr="00A2019B">
              <w:rPr>
                <w:sz w:val="14"/>
                <w:szCs w:val="14"/>
                <w:lang w:val="ru-RU"/>
              </w:rPr>
              <w:t xml:space="preserve"> </w:t>
            </w:r>
            <w:r w:rsidRPr="00A2019B">
              <w:rPr>
                <w:sz w:val="14"/>
                <w:szCs w:val="14"/>
                <w:lang w:val="ru-RU"/>
              </w:rPr>
              <w:t>государства, здесь можно по-разному это оценивать, но это, без всяких сомнений, было</w:t>
            </w:r>
            <w:r w:rsidR="00D87E12" w:rsidRPr="00A2019B">
              <w:rPr>
                <w:sz w:val="14"/>
                <w:szCs w:val="14"/>
                <w:lang w:val="ru-RU"/>
              </w:rPr>
              <w:t xml:space="preserve"> </w:t>
            </w:r>
            <w:r w:rsidRPr="00A2019B">
              <w:rPr>
                <w:sz w:val="14"/>
                <w:szCs w:val="14"/>
                <w:lang w:val="ru-RU"/>
              </w:rPr>
              <w:t>существенным фактором, в том числе и в ходе только что, надеюсь, завершённого</w:t>
            </w:r>
            <w:r w:rsidR="00D87E12" w:rsidRPr="00A2019B">
              <w:rPr>
                <w:sz w:val="14"/>
                <w:szCs w:val="14"/>
                <w:lang w:val="ru-RU"/>
              </w:rPr>
              <w:t xml:space="preserve"> </w:t>
            </w:r>
            <w:r w:rsidRPr="00A2019B">
              <w:rPr>
                <w:sz w:val="14"/>
                <w:szCs w:val="14"/>
                <w:lang w:val="ru-RU"/>
              </w:rPr>
              <w:t>кровопролитного конфликта. Потому что сам факт непризнания Карабаха, в том числе</w:t>
            </w:r>
            <w:r w:rsidR="00D87E12" w:rsidRPr="00A2019B">
              <w:rPr>
                <w:sz w:val="14"/>
                <w:szCs w:val="14"/>
                <w:lang w:val="ru-RU"/>
              </w:rPr>
              <w:t xml:space="preserve"> </w:t>
            </w:r>
            <w:r w:rsidRPr="00A2019B">
              <w:rPr>
                <w:sz w:val="14"/>
                <w:szCs w:val="14"/>
                <w:lang w:val="ru-RU"/>
              </w:rPr>
              <w:t>со стороны Армении, существенным образом накладывал отпечаток на ход событий и на его</w:t>
            </w:r>
            <w:r w:rsidR="00D87E12" w:rsidRPr="00A2019B">
              <w:rPr>
                <w:sz w:val="14"/>
                <w:szCs w:val="14"/>
                <w:lang w:val="ru-RU"/>
              </w:rPr>
              <w:t xml:space="preserve"> </w:t>
            </w:r>
            <w:r w:rsidRPr="00A2019B">
              <w:rPr>
                <w:sz w:val="14"/>
                <w:szCs w:val="14"/>
                <w:lang w:val="ru-RU"/>
              </w:rPr>
              <w:t>восприятие.Здесь надо прямо говорить: в своё время после преступных, без всякого сомнения, действий</w:t>
            </w:r>
            <w:r w:rsidR="00D87E12" w:rsidRPr="00A2019B">
              <w:rPr>
                <w:sz w:val="14"/>
                <w:szCs w:val="14"/>
                <w:lang w:val="ru-RU"/>
              </w:rPr>
              <w:t xml:space="preserve"> </w:t>
            </w:r>
            <w:r w:rsidRPr="00A2019B">
              <w:rPr>
                <w:sz w:val="14"/>
                <w:szCs w:val="14"/>
                <w:lang w:val="ru-RU"/>
              </w:rPr>
              <w:t>бывшего грузинского руководства, имею в виду нанесение ударов по нашим миротворцам</w:t>
            </w:r>
            <w:r w:rsidR="00D87E12" w:rsidRPr="00A2019B">
              <w:rPr>
                <w:sz w:val="14"/>
                <w:szCs w:val="14"/>
                <w:lang w:val="ru-RU"/>
              </w:rPr>
              <w:t xml:space="preserve"> </w:t>
            </w:r>
            <w:r w:rsidRPr="00A2019B">
              <w:rPr>
                <w:sz w:val="14"/>
                <w:szCs w:val="14"/>
                <w:lang w:val="ru-RU"/>
              </w:rPr>
              <w:t>в Южной Осетии, Россия признала независимость Южной Осетии и Абхазии. Мы признали</w:t>
            </w:r>
            <w:r w:rsidR="00D87E12" w:rsidRPr="00A2019B">
              <w:rPr>
                <w:sz w:val="14"/>
                <w:szCs w:val="14"/>
                <w:lang w:val="ru-RU"/>
              </w:rPr>
              <w:t xml:space="preserve"> </w:t>
            </w:r>
            <w:r w:rsidRPr="00A2019B">
              <w:rPr>
                <w:sz w:val="14"/>
                <w:szCs w:val="14"/>
                <w:lang w:val="ru-RU"/>
              </w:rPr>
              <w:t>справедливым волеизъявление народа, проживающего в Крыму, и стремление людей,</w:t>
            </w:r>
            <w:r w:rsidR="00D87E12" w:rsidRPr="00A2019B">
              <w:rPr>
                <w:sz w:val="14"/>
                <w:szCs w:val="14"/>
                <w:lang w:val="ru-RU"/>
              </w:rPr>
              <w:t xml:space="preserve"> </w:t>
            </w:r>
            <w:r w:rsidRPr="00A2019B">
              <w:rPr>
                <w:sz w:val="14"/>
                <w:szCs w:val="14"/>
                <w:lang w:val="ru-RU"/>
              </w:rPr>
              <w:t>проживающих там, воссоединиться с Россией, мы пошли навстречу людям, мы сделали это</w:t>
            </w:r>
            <w:r w:rsidR="00D87E12" w:rsidRPr="00A2019B">
              <w:rPr>
                <w:sz w:val="14"/>
                <w:szCs w:val="14"/>
                <w:lang w:val="ru-RU"/>
              </w:rPr>
              <w:t xml:space="preserve"> </w:t>
            </w:r>
            <w:r w:rsidRPr="00A2019B">
              <w:rPr>
                <w:sz w:val="14"/>
                <w:szCs w:val="14"/>
                <w:lang w:val="ru-RU"/>
              </w:rPr>
              <w:t>открыто. Кому-то это может нравиться, кому-то не нравиться, но мы делали это в интересах тех</w:t>
            </w:r>
            <w:r w:rsidR="00D87E12" w:rsidRPr="00A2019B">
              <w:rPr>
                <w:sz w:val="14"/>
                <w:szCs w:val="14"/>
                <w:lang w:val="ru-RU"/>
              </w:rPr>
              <w:t xml:space="preserve"> </w:t>
            </w:r>
            <w:r w:rsidRPr="00A2019B">
              <w:rPr>
                <w:sz w:val="14"/>
                <w:szCs w:val="14"/>
                <w:lang w:val="ru-RU"/>
              </w:rPr>
              <w:t>людей, которые там проживают, и в интересах всей России, и мы не стесняемся об этом прямо</w:t>
            </w:r>
            <w:r w:rsidR="00D87E12" w:rsidRPr="00A2019B">
              <w:rPr>
                <w:sz w:val="14"/>
                <w:szCs w:val="14"/>
                <w:lang w:val="ru-RU"/>
              </w:rPr>
              <w:t xml:space="preserve"> </w:t>
            </w:r>
            <w:r w:rsidRPr="00A2019B">
              <w:rPr>
                <w:sz w:val="14"/>
                <w:szCs w:val="14"/>
                <w:lang w:val="ru-RU"/>
              </w:rPr>
              <w:t>говорить. В отношении Карабаха это сделано не было, и это существенным образом, конечно,</w:t>
            </w:r>
            <w:r w:rsidR="00D87E12" w:rsidRPr="00A2019B">
              <w:rPr>
                <w:sz w:val="14"/>
                <w:szCs w:val="14"/>
                <w:lang w:val="ru-RU"/>
              </w:rPr>
              <w:t xml:space="preserve"> </w:t>
            </w:r>
            <w:r w:rsidRPr="00A2019B">
              <w:rPr>
                <w:sz w:val="14"/>
                <w:szCs w:val="14"/>
                <w:lang w:val="ru-RU"/>
              </w:rPr>
              <w:t>оказывало влияние на все происходящие там события.</w:t>
            </w:r>
            <w:r w:rsidR="00D87E12" w:rsidRPr="00A2019B">
              <w:rPr>
                <w:sz w:val="14"/>
                <w:szCs w:val="14"/>
                <w:lang w:val="ru-RU"/>
              </w:rPr>
              <w:t xml:space="preserve"> </w:t>
            </w:r>
            <w:r w:rsidRPr="00A2019B">
              <w:rPr>
                <w:sz w:val="14"/>
                <w:szCs w:val="14"/>
                <w:lang w:val="ru-RU"/>
              </w:rPr>
              <w:t>Вопрос: Армяне, которые покидали Карабах во время боестолкновений, сейчас возвращаются</w:t>
            </w:r>
            <w:r w:rsidR="00D87E12" w:rsidRPr="00A2019B">
              <w:rPr>
                <w:sz w:val="14"/>
                <w:szCs w:val="14"/>
                <w:lang w:val="ru-RU"/>
              </w:rPr>
              <w:t xml:space="preserve"> </w:t>
            </w:r>
            <w:r w:rsidRPr="00A2019B">
              <w:rPr>
                <w:sz w:val="14"/>
                <w:szCs w:val="14"/>
                <w:lang w:val="ru-RU"/>
              </w:rPr>
              <w:t>в свои дома. Насколько, на Ваш взгляд, это вообще безопасно?</w:t>
            </w:r>
            <w:r w:rsidR="00D87E12" w:rsidRPr="00A2019B">
              <w:rPr>
                <w:sz w:val="14"/>
                <w:szCs w:val="14"/>
                <w:lang w:val="ru-RU"/>
              </w:rPr>
              <w:t xml:space="preserve"> </w:t>
            </w:r>
            <w:r w:rsidRPr="00A2019B">
              <w:rPr>
                <w:sz w:val="14"/>
                <w:szCs w:val="14"/>
                <w:lang w:val="ru-RU"/>
              </w:rPr>
              <w:t>В.Путин: Это очень важный вопрос, это очень чувствительный вопрос. Как раз с целью</w:t>
            </w:r>
            <w:r w:rsidR="00D87E12" w:rsidRPr="00A2019B">
              <w:rPr>
                <w:sz w:val="14"/>
                <w:szCs w:val="14"/>
                <w:lang w:val="ru-RU"/>
              </w:rPr>
              <w:t xml:space="preserve"> </w:t>
            </w:r>
            <w:r w:rsidRPr="00A2019B">
              <w:rPr>
                <w:sz w:val="14"/>
                <w:szCs w:val="14"/>
                <w:lang w:val="ru-RU"/>
              </w:rPr>
              <w:t>обеспечения безопасности этих людей и размещается российский миротворческий контингент.</w:t>
            </w:r>
            <w:r w:rsidR="00D87E12" w:rsidRPr="00A2019B">
              <w:rPr>
                <w:sz w:val="14"/>
                <w:szCs w:val="14"/>
                <w:lang w:val="ru-RU"/>
              </w:rPr>
              <w:t xml:space="preserve"> </w:t>
            </w:r>
            <w:r w:rsidRPr="00A2019B">
              <w:rPr>
                <w:sz w:val="14"/>
                <w:szCs w:val="14"/>
                <w:lang w:val="ru-RU"/>
              </w:rPr>
              <w:t>Как Вы видите, под этим документом стоит подпись и Премьер-министра Армении,</w:t>
            </w:r>
            <w:r w:rsidR="00D87E12" w:rsidRPr="00A2019B">
              <w:rPr>
                <w:sz w:val="14"/>
                <w:szCs w:val="14"/>
                <w:lang w:val="ru-RU"/>
              </w:rPr>
              <w:t xml:space="preserve"> </w:t>
            </w:r>
            <w:r w:rsidRPr="00A2019B">
              <w:rPr>
                <w:sz w:val="14"/>
                <w:szCs w:val="14"/>
                <w:lang w:val="ru-RU"/>
              </w:rPr>
              <w:t>и Президента Азербайджана, и моя подпись стоит. Мы все прекрасно понимаем, отдаём себе</w:t>
            </w:r>
            <w:r w:rsidR="00D87E12" w:rsidRPr="00A2019B">
              <w:rPr>
                <w:sz w:val="14"/>
                <w:szCs w:val="14"/>
                <w:lang w:val="ru-RU"/>
              </w:rPr>
              <w:t xml:space="preserve"> </w:t>
            </w:r>
            <w:r w:rsidRPr="00A2019B">
              <w:rPr>
                <w:sz w:val="14"/>
                <w:szCs w:val="14"/>
                <w:lang w:val="ru-RU"/>
              </w:rPr>
              <w:t>отчёт в том, что, исходя из тяжести этого конфликта, исходя из того, что раны ещё, конечно,</w:t>
            </w:r>
            <w:r w:rsidR="00D87E12" w:rsidRPr="00A2019B">
              <w:rPr>
                <w:sz w:val="14"/>
                <w:szCs w:val="14"/>
                <w:lang w:val="ru-RU"/>
              </w:rPr>
              <w:t xml:space="preserve"> </w:t>
            </w:r>
            <w:r w:rsidRPr="00A2019B">
              <w:rPr>
                <w:sz w:val="14"/>
                <w:szCs w:val="14"/>
                <w:lang w:val="ru-RU"/>
              </w:rPr>
              <w:t>не затянулись, очень свежи, очень много потерь, как я уже сказал, беда пришла во многие</w:t>
            </w:r>
            <w:r w:rsidR="00D87E12" w:rsidRPr="00A2019B">
              <w:rPr>
                <w:sz w:val="14"/>
                <w:szCs w:val="14"/>
                <w:lang w:val="ru-RU"/>
              </w:rPr>
              <w:t xml:space="preserve"> </w:t>
            </w:r>
            <w:r w:rsidRPr="00A2019B">
              <w:rPr>
                <w:sz w:val="14"/>
                <w:szCs w:val="14"/>
                <w:lang w:val="ru-RU"/>
              </w:rPr>
              <w:t>дома, во многие семьи, и, кстати говоря, и в Азербайджане, и в Армении. Поэтому нужно время,</w:t>
            </w:r>
            <w:r w:rsidR="00D87E12" w:rsidRPr="00A2019B">
              <w:rPr>
                <w:sz w:val="14"/>
                <w:szCs w:val="14"/>
                <w:lang w:val="ru-RU"/>
              </w:rPr>
              <w:t xml:space="preserve"> </w:t>
            </w:r>
            <w:r w:rsidRPr="00A2019B">
              <w:rPr>
                <w:sz w:val="14"/>
                <w:szCs w:val="14"/>
                <w:lang w:val="ru-RU"/>
              </w:rPr>
              <w:t>для того чтобы всё успокоилось, улеглось и чтобы люди действительно почувствовали, что</w:t>
            </w:r>
            <w:r w:rsidR="00D87E12" w:rsidRPr="00A2019B">
              <w:rPr>
                <w:sz w:val="14"/>
                <w:szCs w:val="14"/>
                <w:lang w:val="ru-RU"/>
              </w:rPr>
              <w:t xml:space="preserve"> </w:t>
            </w:r>
            <w:r w:rsidRPr="00A2019B">
              <w:rPr>
                <w:sz w:val="14"/>
                <w:szCs w:val="14"/>
                <w:lang w:val="ru-RU"/>
              </w:rPr>
              <w:t>мирная жизнь вернулась в их сердце, в их душу, вот что самое главное. Ну а до этого, конечно,</w:t>
            </w:r>
            <w:r w:rsidR="00D87E12" w:rsidRPr="00A2019B">
              <w:rPr>
                <w:sz w:val="14"/>
                <w:szCs w:val="14"/>
                <w:lang w:val="ru-RU"/>
              </w:rPr>
              <w:t xml:space="preserve"> </w:t>
            </w:r>
            <w:r w:rsidRPr="00A2019B">
              <w:rPr>
                <w:sz w:val="14"/>
                <w:szCs w:val="14"/>
                <w:lang w:val="ru-RU"/>
              </w:rPr>
              <w:t>следует подумать о реальной безопасности людей, в том числе беженцев, возвращающихся,</w:t>
            </w:r>
            <w:r w:rsidR="00D87E12" w:rsidRPr="00A2019B">
              <w:rPr>
                <w:sz w:val="14"/>
                <w:szCs w:val="14"/>
                <w:lang w:val="ru-RU"/>
              </w:rPr>
              <w:t xml:space="preserve"> </w:t>
            </w:r>
            <w:r w:rsidRPr="00A2019B">
              <w:rPr>
                <w:sz w:val="14"/>
                <w:szCs w:val="14"/>
                <w:lang w:val="ru-RU"/>
              </w:rPr>
              <w:t>кстати говоря, с обеих сторон. И эта миссия возложена на российских миротворцев.</w:t>
            </w:r>
            <w:r w:rsidR="00D87E12" w:rsidRPr="00A2019B">
              <w:rPr>
                <w:sz w:val="14"/>
                <w:szCs w:val="14"/>
                <w:lang w:val="ru-RU"/>
              </w:rPr>
              <w:t xml:space="preserve"> </w:t>
            </w:r>
            <w:r w:rsidRPr="00A2019B">
              <w:rPr>
                <w:sz w:val="14"/>
                <w:szCs w:val="14"/>
                <w:lang w:val="ru-RU"/>
              </w:rPr>
              <w:t>Вопрос: В ту ночь, сразу после подписания этого соглашения, мы стали свидетелями, как</w:t>
            </w:r>
            <w:r w:rsidR="00D87E12" w:rsidRPr="00A2019B">
              <w:rPr>
                <w:sz w:val="14"/>
                <w:szCs w:val="14"/>
                <w:lang w:val="ru-RU"/>
              </w:rPr>
              <w:t xml:space="preserve"> </w:t>
            </w:r>
            <w:r w:rsidRPr="00A2019B">
              <w:rPr>
                <w:sz w:val="14"/>
                <w:szCs w:val="14"/>
                <w:lang w:val="ru-RU"/>
              </w:rPr>
              <w:t>буквально в течение часа начали идти сообщения из Еревана о том, что там забурлила</w:t>
            </w:r>
            <w:r w:rsidR="00D87E12" w:rsidRPr="00A2019B">
              <w:rPr>
                <w:sz w:val="14"/>
                <w:szCs w:val="14"/>
                <w:lang w:val="ru-RU"/>
              </w:rPr>
              <w:t xml:space="preserve"> </w:t>
            </w:r>
            <w:r w:rsidRPr="00A2019B">
              <w:rPr>
                <w:sz w:val="14"/>
                <w:szCs w:val="14"/>
                <w:lang w:val="ru-RU"/>
              </w:rPr>
              <w:t>ситуация. И мы видим, что она бурлит и сейчас. Оппозиция обвиняет Премьера Пашиняна</w:t>
            </w:r>
            <w:r w:rsidR="00D87E12" w:rsidRPr="00A2019B">
              <w:rPr>
                <w:sz w:val="14"/>
                <w:szCs w:val="14"/>
                <w:lang w:val="ru-RU"/>
              </w:rPr>
              <w:t xml:space="preserve"> </w:t>
            </w:r>
            <w:r w:rsidRPr="00A2019B">
              <w:rPr>
                <w:sz w:val="14"/>
                <w:szCs w:val="14"/>
                <w:lang w:val="ru-RU"/>
              </w:rPr>
              <w:t>чуть ли не в измене, в предательстве Родины. В свою очередь Пашинян вот буквально</w:t>
            </w:r>
            <w:r w:rsidR="00D87E12" w:rsidRPr="00A2019B">
              <w:rPr>
                <w:sz w:val="14"/>
                <w:szCs w:val="14"/>
                <w:lang w:val="ru-RU"/>
              </w:rPr>
              <w:t xml:space="preserve"> </w:t>
            </w:r>
            <w:r w:rsidRPr="00A2019B">
              <w:rPr>
                <w:sz w:val="14"/>
                <w:szCs w:val="14"/>
                <w:lang w:val="ru-RU"/>
              </w:rPr>
              <w:t>накануне сказал следующее: армянская сторона могла избежать войны, если бы согласилась</w:t>
            </w:r>
            <w:r w:rsidR="00D87E12" w:rsidRPr="00A2019B">
              <w:rPr>
                <w:sz w:val="14"/>
                <w:szCs w:val="14"/>
                <w:lang w:val="ru-RU"/>
              </w:rPr>
              <w:t xml:space="preserve"> </w:t>
            </w:r>
            <w:r w:rsidRPr="00A2019B">
              <w:rPr>
                <w:sz w:val="14"/>
                <w:szCs w:val="14"/>
                <w:lang w:val="ru-RU"/>
              </w:rPr>
              <w:t>передать Азербайджану семь районов, а также город Шуша, но мы не хотели соглашаться</w:t>
            </w:r>
            <w:r w:rsidR="00D87E12" w:rsidRPr="00A2019B">
              <w:rPr>
                <w:sz w:val="14"/>
                <w:szCs w:val="14"/>
                <w:lang w:val="ru-RU"/>
              </w:rPr>
              <w:t xml:space="preserve"> </w:t>
            </w:r>
            <w:r w:rsidRPr="00A2019B">
              <w:rPr>
                <w:sz w:val="14"/>
                <w:szCs w:val="14"/>
                <w:lang w:val="ru-RU"/>
              </w:rPr>
              <w:t>на это, приняли вызов и боролись до конца. Действительно ли в ходе переговоров так тоже</w:t>
            </w:r>
            <w:r w:rsidR="00D87E12" w:rsidRPr="00A2019B">
              <w:rPr>
                <w:sz w:val="14"/>
                <w:szCs w:val="14"/>
                <w:lang w:val="ru-RU"/>
              </w:rPr>
              <w:t xml:space="preserve"> </w:t>
            </w:r>
            <w:r w:rsidRPr="00A2019B">
              <w:rPr>
                <w:sz w:val="14"/>
                <w:szCs w:val="14"/>
                <w:lang w:val="ru-RU"/>
              </w:rPr>
              <w:t>ставился вопрос?</w:t>
            </w:r>
            <w:r w:rsidR="00D87E12" w:rsidRPr="00A2019B">
              <w:rPr>
                <w:sz w:val="14"/>
                <w:szCs w:val="14"/>
                <w:lang w:val="ru-RU"/>
              </w:rPr>
              <w:t xml:space="preserve"> </w:t>
            </w:r>
            <w:r w:rsidRPr="00A2019B">
              <w:rPr>
                <w:sz w:val="14"/>
                <w:szCs w:val="14"/>
                <w:lang w:val="ru-RU"/>
              </w:rPr>
              <w:t>В.Путин: Вопрос о возвращении Азербайджану пяти, а затем двух районов, которые</w:t>
            </w:r>
            <w:r w:rsidR="00D87E12" w:rsidRPr="00A2019B">
              <w:rPr>
                <w:sz w:val="14"/>
                <w:szCs w:val="14"/>
                <w:lang w:val="ru-RU"/>
              </w:rPr>
              <w:t xml:space="preserve"> </w:t>
            </w:r>
            <w:r w:rsidRPr="00A2019B">
              <w:rPr>
                <w:sz w:val="14"/>
                <w:szCs w:val="14"/>
                <w:lang w:val="ru-RU"/>
              </w:rPr>
              <w:t>находились под контролем (фактически под контролем Армении, надо прямо об этом сказать),</w:t>
            </w:r>
            <w:r w:rsidR="00D87E12" w:rsidRPr="00A2019B">
              <w:rPr>
                <w:sz w:val="14"/>
                <w:szCs w:val="14"/>
                <w:lang w:val="ru-RU"/>
              </w:rPr>
              <w:t xml:space="preserve"> </w:t>
            </w:r>
            <w:r w:rsidRPr="00A2019B">
              <w:rPr>
                <w:sz w:val="14"/>
                <w:szCs w:val="14"/>
                <w:lang w:val="ru-RU"/>
              </w:rPr>
              <w:t>ставился на протяжении длительного времени. В 2013 году в рамках Минской группы ОБСЕ</w:t>
            </w:r>
            <w:r w:rsidR="00D87E12" w:rsidRPr="00A2019B">
              <w:rPr>
                <w:sz w:val="14"/>
                <w:szCs w:val="14"/>
                <w:lang w:val="ru-RU"/>
              </w:rPr>
              <w:t xml:space="preserve"> </w:t>
            </w:r>
            <w:r w:rsidRPr="00A2019B">
              <w:rPr>
                <w:sz w:val="14"/>
                <w:szCs w:val="14"/>
                <w:lang w:val="ru-RU"/>
              </w:rPr>
              <w:t>Россия сформулировала условия, которые, на наш взгляд, могли бы положить начало мирному</w:t>
            </w:r>
            <w:r w:rsidR="00D87E12" w:rsidRPr="00A2019B">
              <w:rPr>
                <w:sz w:val="14"/>
                <w:szCs w:val="14"/>
                <w:lang w:val="ru-RU"/>
              </w:rPr>
              <w:t xml:space="preserve"> </w:t>
            </w:r>
            <w:r w:rsidRPr="00A2019B">
              <w:rPr>
                <w:sz w:val="14"/>
                <w:szCs w:val="14"/>
                <w:lang w:val="ru-RU"/>
              </w:rPr>
              <w:t>процессу. И с этим, кстати говоря, все участники этого минского процесса, Минской группы</w:t>
            </w:r>
            <w:r w:rsidR="00D87E12" w:rsidRPr="00A2019B">
              <w:rPr>
                <w:sz w:val="14"/>
                <w:szCs w:val="14"/>
                <w:lang w:val="ru-RU"/>
              </w:rPr>
              <w:t xml:space="preserve"> </w:t>
            </w:r>
            <w:r w:rsidRPr="00A2019B">
              <w:rPr>
                <w:sz w:val="14"/>
                <w:szCs w:val="14"/>
                <w:lang w:val="ru-RU"/>
              </w:rPr>
              <w:t>ОБСЕ, включая сопредседателей (а это, напомню, Россия, Франция и Соединённые Штаты</w:t>
            </w:r>
            <w:r w:rsidR="00D87E12" w:rsidRPr="00A2019B">
              <w:rPr>
                <w:sz w:val="14"/>
                <w:szCs w:val="14"/>
                <w:lang w:val="ru-RU"/>
              </w:rPr>
              <w:t xml:space="preserve"> </w:t>
            </w:r>
            <w:r w:rsidRPr="00A2019B">
              <w:rPr>
                <w:sz w:val="14"/>
                <w:szCs w:val="14"/>
                <w:lang w:val="ru-RU"/>
              </w:rPr>
              <w:t>Америки), все с этим согласились и поддержали.</w:t>
            </w:r>
            <w:r w:rsidR="00D87E12" w:rsidRPr="00A2019B">
              <w:rPr>
                <w:sz w:val="14"/>
                <w:szCs w:val="14"/>
                <w:lang w:val="ru-RU"/>
              </w:rPr>
              <w:t xml:space="preserve"> </w:t>
            </w:r>
            <w:r w:rsidRPr="00A2019B">
              <w:rPr>
                <w:sz w:val="14"/>
                <w:szCs w:val="14"/>
                <w:lang w:val="ru-RU"/>
              </w:rPr>
              <w:t>Что лежало в основе этих предложений? Возвращение на первом этапе пяти контролируемых</w:t>
            </w:r>
            <w:r w:rsidR="00D87E12" w:rsidRPr="00A2019B">
              <w:rPr>
                <w:sz w:val="14"/>
                <w:szCs w:val="14"/>
                <w:lang w:val="ru-RU"/>
              </w:rPr>
              <w:t xml:space="preserve"> </w:t>
            </w:r>
            <w:r w:rsidRPr="00A2019B">
              <w:rPr>
                <w:sz w:val="14"/>
                <w:szCs w:val="14"/>
                <w:lang w:val="ru-RU"/>
              </w:rPr>
              <w:t>Арменией районов, а затем и двух районов дополнительно, создание коридора, который</w:t>
            </w:r>
            <w:r w:rsidR="00D87E12" w:rsidRPr="00A2019B">
              <w:rPr>
                <w:sz w:val="14"/>
                <w:szCs w:val="14"/>
                <w:lang w:val="ru-RU"/>
              </w:rPr>
              <w:t xml:space="preserve"> </w:t>
            </w:r>
            <w:r w:rsidRPr="00A2019B">
              <w:rPr>
                <w:sz w:val="14"/>
                <w:szCs w:val="14"/>
                <w:lang w:val="ru-RU"/>
              </w:rPr>
              <w:t>соединял бы Карабах и Армению в зоне Лачинского района Азербайджана (поэтому он условно</w:t>
            </w:r>
            <w:r w:rsidR="00D87E12" w:rsidRPr="00A2019B">
              <w:rPr>
                <w:sz w:val="14"/>
                <w:szCs w:val="14"/>
                <w:lang w:val="ru-RU"/>
              </w:rPr>
              <w:t xml:space="preserve"> </w:t>
            </w:r>
            <w:r w:rsidRPr="00A2019B">
              <w:rPr>
                <w:sz w:val="14"/>
                <w:szCs w:val="14"/>
                <w:lang w:val="ru-RU"/>
              </w:rPr>
              <w:t>получил название Лачинский коридор) и признание статус-кво самого Карабаха, не закрепляя</w:t>
            </w:r>
            <w:r w:rsidR="00D87E12" w:rsidRPr="00A2019B">
              <w:rPr>
                <w:sz w:val="14"/>
                <w:szCs w:val="14"/>
                <w:lang w:val="ru-RU"/>
              </w:rPr>
              <w:t xml:space="preserve"> </w:t>
            </w:r>
            <w:r w:rsidRPr="00A2019B">
              <w:rPr>
                <w:sz w:val="14"/>
                <w:szCs w:val="14"/>
                <w:lang w:val="ru-RU"/>
              </w:rPr>
              <w:t>его окончательного статуса.</w:t>
            </w:r>
            <w:r w:rsidR="00D87E12" w:rsidRPr="00A2019B">
              <w:rPr>
                <w:sz w:val="14"/>
                <w:szCs w:val="14"/>
                <w:lang w:val="ru-RU"/>
              </w:rPr>
              <w:t xml:space="preserve"> </w:t>
            </w:r>
            <w:r w:rsidRPr="00A2019B">
              <w:rPr>
                <w:sz w:val="14"/>
                <w:szCs w:val="14"/>
                <w:lang w:val="ru-RU"/>
              </w:rPr>
              <w:t>Действительно, это я всё время говорил нашим армянским друзьям и азербайджанским тоже,</w:t>
            </w:r>
            <w:r w:rsidR="00D87E12" w:rsidRPr="00A2019B">
              <w:rPr>
                <w:sz w:val="14"/>
                <w:szCs w:val="14"/>
                <w:lang w:val="ru-RU"/>
              </w:rPr>
              <w:t xml:space="preserve"> </w:t>
            </w:r>
            <w:r w:rsidRPr="00A2019B">
              <w:rPr>
                <w:sz w:val="14"/>
                <w:szCs w:val="14"/>
                <w:lang w:val="ru-RU"/>
              </w:rPr>
              <w:t>на мой взгляд, это было бы решением вопроса. Но, к сожалению, мы подходили несколько раз</w:t>
            </w:r>
            <w:r w:rsidR="00D87E12" w:rsidRPr="00A2019B">
              <w:rPr>
                <w:sz w:val="14"/>
                <w:szCs w:val="14"/>
                <w:lang w:val="ru-RU"/>
              </w:rPr>
              <w:t xml:space="preserve"> </w:t>
            </w:r>
            <w:r w:rsidRPr="00A2019B">
              <w:rPr>
                <w:sz w:val="14"/>
                <w:szCs w:val="14"/>
                <w:lang w:val="ru-RU"/>
              </w:rPr>
              <w:t>к окончательному решению на этой базе… Да, кстати говоря, ещё обязательное условие было –</w:t>
            </w:r>
            <w:r w:rsidR="00D87E12" w:rsidRPr="00A2019B">
              <w:rPr>
                <w:sz w:val="14"/>
                <w:szCs w:val="14"/>
                <w:lang w:val="ru-RU"/>
              </w:rPr>
              <w:t xml:space="preserve"> </w:t>
            </w:r>
            <w:r w:rsidRPr="00A2019B">
              <w:rPr>
                <w:sz w:val="14"/>
                <w:szCs w:val="14"/>
                <w:lang w:val="ru-RU"/>
              </w:rPr>
              <w:t>возвращение беженцев, причём с обеих сторон, как азербайджанских беженцев, так</w:t>
            </w:r>
            <w:r w:rsidR="00D87E12" w:rsidRPr="00A2019B">
              <w:rPr>
                <w:sz w:val="14"/>
                <w:szCs w:val="14"/>
                <w:lang w:val="ru-RU"/>
              </w:rPr>
              <w:t xml:space="preserve"> </w:t>
            </w:r>
            <w:r w:rsidRPr="00A2019B">
              <w:rPr>
                <w:sz w:val="14"/>
                <w:szCs w:val="14"/>
                <w:lang w:val="ru-RU"/>
              </w:rPr>
              <w:t>и армянских беженцев к своим родным очагам. И это является безусловным требованием</w:t>
            </w:r>
            <w:r w:rsidR="00D87E12" w:rsidRPr="00A2019B">
              <w:rPr>
                <w:sz w:val="14"/>
                <w:szCs w:val="14"/>
                <w:lang w:val="ru-RU"/>
              </w:rPr>
              <w:t xml:space="preserve"> </w:t>
            </w:r>
            <w:r w:rsidRPr="00A2019B">
              <w:rPr>
                <w:sz w:val="14"/>
                <w:szCs w:val="14"/>
                <w:lang w:val="ru-RU"/>
              </w:rPr>
              <w:t>международного гуманитарного права. На мой взгляд, если бы это нам удалось сделать,</w:t>
            </w:r>
            <w:r w:rsidR="00D87E12" w:rsidRPr="00A2019B">
              <w:rPr>
                <w:sz w:val="14"/>
                <w:szCs w:val="14"/>
                <w:lang w:val="ru-RU"/>
              </w:rPr>
              <w:t xml:space="preserve"> </w:t>
            </w:r>
            <w:r w:rsidRPr="00A2019B">
              <w:rPr>
                <w:sz w:val="14"/>
                <w:szCs w:val="14"/>
                <w:lang w:val="ru-RU"/>
              </w:rPr>
              <w:t>удалось бы достигнуть договорённостей на этой базе, и войны бы не было, это правда. Я</w:t>
            </w:r>
            <w:r w:rsidR="00D87E12" w:rsidRPr="00A2019B">
              <w:rPr>
                <w:sz w:val="14"/>
                <w:szCs w:val="14"/>
                <w:lang w:val="ru-RU"/>
              </w:rPr>
              <w:t xml:space="preserve"> </w:t>
            </w:r>
            <w:r w:rsidRPr="00A2019B">
              <w:rPr>
                <w:sz w:val="14"/>
                <w:szCs w:val="14"/>
                <w:lang w:val="ru-RU"/>
              </w:rPr>
              <w:t>и сейчас в этом абсолютно убеждён.</w:t>
            </w:r>
            <w:r w:rsidR="00D87E12" w:rsidRPr="00A2019B">
              <w:rPr>
                <w:sz w:val="14"/>
                <w:szCs w:val="14"/>
                <w:lang w:val="ru-RU"/>
              </w:rPr>
              <w:t xml:space="preserve"> </w:t>
            </w:r>
            <w:r w:rsidRPr="00A2019B">
              <w:rPr>
                <w:sz w:val="14"/>
                <w:szCs w:val="14"/>
                <w:lang w:val="ru-RU"/>
              </w:rPr>
              <w:t>К сожалению, когда мы подходили, вот-вот казалось, уже совсем близко были к решению</w:t>
            </w:r>
            <w:r w:rsidR="00D87E12" w:rsidRPr="00A2019B">
              <w:rPr>
                <w:sz w:val="14"/>
                <w:szCs w:val="14"/>
                <w:lang w:val="ru-RU"/>
              </w:rPr>
              <w:t xml:space="preserve"> </w:t>
            </w:r>
            <w:r w:rsidRPr="00A2019B">
              <w:rPr>
                <w:sz w:val="14"/>
                <w:szCs w:val="14"/>
                <w:lang w:val="ru-RU"/>
              </w:rPr>
              <w:t>вопроса на этой базе, то с одной, то с другой стороны возникали препятствия, которые мы так</w:t>
            </w:r>
            <w:r w:rsidR="00D87E12" w:rsidRPr="00A2019B">
              <w:rPr>
                <w:sz w:val="14"/>
                <w:szCs w:val="14"/>
                <w:lang w:val="ru-RU"/>
              </w:rPr>
              <w:t xml:space="preserve"> </w:t>
            </w:r>
            <w:r w:rsidRPr="00A2019B">
              <w:rPr>
                <w:sz w:val="14"/>
                <w:szCs w:val="14"/>
                <w:lang w:val="ru-RU"/>
              </w:rPr>
              <w:t>и не смогли преодолеть. В конечном итоге дело вылилось в такой кровавый, прямо скажем,</w:t>
            </w:r>
            <w:r w:rsidR="00D87E12" w:rsidRPr="00A2019B">
              <w:rPr>
                <w:sz w:val="14"/>
                <w:szCs w:val="14"/>
                <w:lang w:val="ru-RU"/>
              </w:rPr>
              <w:t xml:space="preserve"> </w:t>
            </w:r>
            <w:r w:rsidRPr="00A2019B">
              <w:rPr>
                <w:sz w:val="14"/>
                <w:szCs w:val="14"/>
                <w:lang w:val="ru-RU"/>
              </w:rPr>
              <w:t>вооружённый конфликт, свидетелями которого мы все были только что.</w:t>
            </w:r>
            <w:r w:rsidR="00D87E12" w:rsidRPr="00A2019B">
              <w:rPr>
                <w:sz w:val="14"/>
                <w:szCs w:val="14"/>
                <w:lang w:val="ru-RU"/>
              </w:rPr>
              <w:t xml:space="preserve"> </w:t>
            </w:r>
            <w:r w:rsidRPr="00A2019B">
              <w:rPr>
                <w:sz w:val="14"/>
                <w:szCs w:val="14"/>
                <w:lang w:val="ru-RU"/>
              </w:rPr>
              <w:t>Что касается города Шуша, то о передаче Шуши вопрос никогда не ставился. Повторяю, статус</w:t>
            </w:r>
            <w:r w:rsidR="00D87E12" w:rsidRPr="00A2019B">
              <w:rPr>
                <w:sz w:val="14"/>
                <w:szCs w:val="14"/>
                <w:lang w:val="ru-RU"/>
              </w:rPr>
              <w:t xml:space="preserve"> </w:t>
            </w:r>
            <w:r w:rsidRPr="00A2019B">
              <w:rPr>
                <w:sz w:val="14"/>
                <w:szCs w:val="14"/>
                <w:lang w:val="ru-RU"/>
              </w:rPr>
              <w:t>окончательный Карабаха передавался на будущее время, и все должны были договориться</w:t>
            </w:r>
            <w:r w:rsidR="00D87E12" w:rsidRPr="00A2019B">
              <w:rPr>
                <w:sz w:val="14"/>
                <w:szCs w:val="14"/>
                <w:lang w:val="ru-RU"/>
              </w:rPr>
              <w:t xml:space="preserve"> </w:t>
            </w:r>
            <w:r w:rsidRPr="00A2019B">
              <w:rPr>
                <w:sz w:val="14"/>
                <w:szCs w:val="14"/>
                <w:lang w:val="ru-RU"/>
              </w:rPr>
              <w:t>о том, что сохраняется статус-кво как непризнанного государства.</w:t>
            </w:r>
            <w:r w:rsidR="00D87E12" w:rsidRPr="00A2019B">
              <w:rPr>
                <w:sz w:val="14"/>
                <w:szCs w:val="14"/>
                <w:lang w:val="ru-RU"/>
              </w:rPr>
              <w:t xml:space="preserve"> </w:t>
            </w:r>
            <w:r w:rsidRPr="00A2019B">
              <w:rPr>
                <w:sz w:val="14"/>
                <w:szCs w:val="14"/>
                <w:lang w:val="ru-RU"/>
              </w:rPr>
              <w:t>Что касается города Шуша, то этот вопрос возник в ходе этого конфликта, в ходе этого кризиса.</w:t>
            </w:r>
            <w:r w:rsidR="00D87E12" w:rsidRPr="00A2019B">
              <w:rPr>
                <w:sz w:val="14"/>
                <w:szCs w:val="14"/>
                <w:lang w:val="ru-RU"/>
              </w:rPr>
              <w:t xml:space="preserve"> </w:t>
            </w:r>
            <w:r w:rsidRPr="00A2019B">
              <w:rPr>
                <w:sz w:val="14"/>
                <w:szCs w:val="14"/>
                <w:lang w:val="ru-RU"/>
              </w:rPr>
              <w:t>Действительно, это было, но было в каком контексте? 19–20 октября у меня состоялась серия</w:t>
            </w:r>
            <w:r w:rsidR="00D87E12" w:rsidRPr="00A2019B">
              <w:rPr>
                <w:sz w:val="14"/>
                <w:szCs w:val="14"/>
                <w:lang w:val="ru-RU"/>
              </w:rPr>
              <w:t xml:space="preserve"> </w:t>
            </w:r>
            <w:r w:rsidRPr="00A2019B">
              <w:rPr>
                <w:sz w:val="14"/>
                <w:szCs w:val="14"/>
                <w:lang w:val="ru-RU"/>
              </w:rPr>
              <w:t>телефонных переговоров как с Президентом Алиевым, так и с Премьер-министром Пашиняном.</w:t>
            </w:r>
            <w:r w:rsidR="00D87E12" w:rsidRPr="00A2019B">
              <w:rPr>
                <w:sz w:val="14"/>
                <w:szCs w:val="14"/>
                <w:lang w:val="ru-RU"/>
              </w:rPr>
              <w:t xml:space="preserve"> </w:t>
            </w:r>
            <w:r w:rsidRPr="00A2019B">
              <w:rPr>
                <w:sz w:val="14"/>
                <w:szCs w:val="14"/>
                <w:lang w:val="ru-RU"/>
              </w:rPr>
              <w:t>И тогда вооружённые силы Азербайджана вернули себе контроль над незначительной частью,</w:t>
            </w:r>
            <w:r w:rsidR="00D87E12" w:rsidRPr="00A2019B">
              <w:rPr>
                <w:sz w:val="14"/>
                <w:szCs w:val="14"/>
                <w:lang w:val="ru-RU"/>
              </w:rPr>
              <w:t xml:space="preserve"> </w:t>
            </w:r>
            <w:r w:rsidRPr="00A2019B">
              <w:rPr>
                <w:sz w:val="14"/>
                <w:szCs w:val="14"/>
                <w:lang w:val="ru-RU"/>
              </w:rPr>
              <w:t>южной частью Карабаха.</w:t>
            </w:r>
            <w:r w:rsidR="00D87E12" w:rsidRPr="00A2019B">
              <w:rPr>
                <w:sz w:val="14"/>
                <w:szCs w:val="14"/>
                <w:lang w:val="ru-RU"/>
              </w:rPr>
              <w:t xml:space="preserve"> </w:t>
            </w:r>
            <w:r w:rsidRPr="00A2019B">
              <w:rPr>
                <w:sz w:val="14"/>
                <w:szCs w:val="14"/>
                <w:lang w:val="ru-RU"/>
              </w:rPr>
              <w:t>В целом мне удалось убедить Президента Алиева в том, что можно прекратить боевые</w:t>
            </w:r>
            <w:r w:rsidR="00D87E12" w:rsidRPr="00A2019B">
              <w:rPr>
                <w:sz w:val="14"/>
                <w:szCs w:val="14"/>
                <w:lang w:val="ru-RU"/>
              </w:rPr>
              <w:t xml:space="preserve"> </w:t>
            </w:r>
            <w:r w:rsidRPr="00A2019B">
              <w:rPr>
                <w:sz w:val="14"/>
                <w:szCs w:val="14"/>
                <w:lang w:val="ru-RU"/>
              </w:rPr>
              <w:t>действия, но обязательным условием с его стороны было возвращение беженцев, в том числе</w:t>
            </w:r>
            <w:r w:rsidR="00D87E12" w:rsidRPr="00A2019B">
              <w:rPr>
                <w:sz w:val="14"/>
                <w:szCs w:val="14"/>
                <w:lang w:val="ru-RU"/>
              </w:rPr>
              <w:t xml:space="preserve"> </w:t>
            </w:r>
            <w:r w:rsidRPr="00A2019B">
              <w:rPr>
                <w:sz w:val="14"/>
                <w:szCs w:val="14"/>
                <w:lang w:val="ru-RU"/>
              </w:rPr>
              <w:t>в город Шуша.</w:t>
            </w:r>
            <w:r w:rsidR="00D87E12" w:rsidRPr="00A2019B">
              <w:rPr>
                <w:sz w:val="14"/>
                <w:szCs w:val="14"/>
                <w:lang w:val="ru-RU"/>
              </w:rPr>
              <w:t xml:space="preserve"> </w:t>
            </w:r>
            <w:r w:rsidRPr="00A2019B">
              <w:rPr>
                <w:sz w:val="14"/>
                <w:szCs w:val="14"/>
                <w:lang w:val="ru-RU"/>
              </w:rPr>
              <w:t>Неожиданно для меня позиция наших армянских партнёров была сформулирована таким</w:t>
            </w:r>
            <w:r w:rsidR="00D87E12" w:rsidRPr="00A2019B">
              <w:rPr>
                <w:sz w:val="14"/>
                <w:szCs w:val="14"/>
                <w:lang w:val="ru-RU"/>
              </w:rPr>
              <w:t xml:space="preserve"> </w:t>
            </w:r>
            <w:r w:rsidRPr="00A2019B">
              <w:rPr>
                <w:sz w:val="14"/>
                <w:szCs w:val="14"/>
                <w:lang w:val="ru-RU"/>
              </w:rPr>
              <w:t>образом, что это для них неприемлемо. И Премьер Пашинян мне прямо сказал, что видит</w:t>
            </w:r>
            <w:r w:rsidR="00D87E12" w:rsidRPr="00A2019B">
              <w:rPr>
                <w:sz w:val="14"/>
                <w:szCs w:val="14"/>
                <w:lang w:val="ru-RU"/>
              </w:rPr>
              <w:t xml:space="preserve"> </w:t>
            </w:r>
            <w:r w:rsidRPr="00A2019B">
              <w:rPr>
                <w:sz w:val="14"/>
                <w:szCs w:val="14"/>
                <w:lang w:val="ru-RU"/>
              </w:rPr>
              <w:t>в этом угрозу для интересов Армении и Карабаха. Мне сейчас не очень понятно, в чём эта</w:t>
            </w:r>
            <w:r w:rsidR="00D87E12" w:rsidRPr="00A2019B">
              <w:rPr>
                <w:sz w:val="14"/>
                <w:szCs w:val="14"/>
                <w:lang w:val="ru-RU"/>
              </w:rPr>
              <w:t xml:space="preserve"> </w:t>
            </w:r>
            <w:r w:rsidRPr="00A2019B">
              <w:rPr>
                <w:sz w:val="14"/>
                <w:szCs w:val="14"/>
                <w:lang w:val="ru-RU"/>
              </w:rPr>
              <w:t>угроза была бы, имею в виду, что предполагалось возвращение мирных граждан при</w:t>
            </w:r>
            <w:r w:rsidR="00D87E12" w:rsidRPr="00A2019B">
              <w:rPr>
                <w:sz w:val="14"/>
                <w:szCs w:val="14"/>
                <w:lang w:val="ru-RU"/>
              </w:rPr>
              <w:t xml:space="preserve"> </w:t>
            </w:r>
            <w:r w:rsidRPr="00A2019B">
              <w:rPr>
                <w:sz w:val="14"/>
                <w:szCs w:val="14"/>
                <w:lang w:val="ru-RU"/>
              </w:rPr>
              <w:t>сохранении контроля с армянской стороны над этой частью территории Карабаха, включая</w:t>
            </w:r>
            <w:r w:rsidR="00D87E12" w:rsidRPr="00A2019B">
              <w:rPr>
                <w:sz w:val="14"/>
                <w:szCs w:val="14"/>
                <w:lang w:val="ru-RU"/>
              </w:rPr>
              <w:t xml:space="preserve"> </w:t>
            </w:r>
            <w:r w:rsidRPr="00A2019B">
              <w:rPr>
                <w:sz w:val="14"/>
                <w:szCs w:val="14"/>
                <w:lang w:val="ru-RU"/>
              </w:rPr>
              <w:t>Шушу, и имея в виду наличие наших миротворцев, о чём мы уже тогда договаривались</w:t>
            </w:r>
            <w:r w:rsidR="00D87E12" w:rsidRPr="00A2019B">
              <w:rPr>
                <w:sz w:val="14"/>
                <w:szCs w:val="14"/>
                <w:lang w:val="ru-RU"/>
              </w:rPr>
              <w:t xml:space="preserve"> </w:t>
            </w:r>
            <w:r w:rsidRPr="00A2019B">
              <w:rPr>
                <w:sz w:val="14"/>
                <w:szCs w:val="14"/>
                <w:lang w:val="ru-RU"/>
              </w:rPr>
              <w:t>и с Арменией, и с Азербайджаном. И мне Премьер тогда сказал: «Нет, мы не можем на это</w:t>
            </w:r>
            <w:r w:rsidR="00D87E12" w:rsidRPr="00A2019B">
              <w:rPr>
                <w:sz w:val="14"/>
                <w:szCs w:val="14"/>
                <w:lang w:val="ru-RU"/>
              </w:rPr>
              <w:t xml:space="preserve"> </w:t>
            </w:r>
            <w:r w:rsidRPr="00A2019B">
              <w:rPr>
                <w:sz w:val="14"/>
                <w:szCs w:val="14"/>
                <w:lang w:val="ru-RU"/>
              </w:rPr>
              <w:t>пойти. Мы будем бороться. Будем воевать». Поэтому и обвинения в его адрес о какомто предательстве не имеют под собой никаких оснований. Другое дело – правильно это было</w:t>
            </w:r>
            <w:r w:rsidR="00D87E12" w:rsidRPr="00A2019B">
              <w:rPr>
                <w:sz w:val="14"/>
                <w:szCs w:val="14"/>
                <w:lang w:val="ru-RU"/>
              </w:rPr>
              <w:t xml:space="preserve"> </w:t>
            </w:r>
            <w:r w:rsidRPr="00A2019B">
              <w:rPr>
                <w:sz w:val="14"/>
                <w:szCs w:val="14"/>
                <w:lang w:val="ru-RU"/>
              </w:rPr>
              <w:t>или неправильно, это другой вопрос, но здесь и речи быть не может ни о каком предательстве.</w:t>
            </w:r>
            <w:r w:rsidR="00D87E12" w:rsidRPr="00A2019B">
              <w:rPr>
                <w:sz w:val="14"/>
                <w:szCs w:val="14"/>
                <w:lang w:val="ru-RU"/>
              </w:rPr>
              <w:t xml:space="preserve"> </w:t>
            </w:r>
            <w:r w:rsidRPr="00A2019B">
              <w:rPr>
                <w:sz w:val="14"/>
                <w:szCs w:val="14"/>
                <w:lang w:val="ru-RU"/>
              </w:rPr>
              <w:t>Вопрос: Вы упомянули уже о Минской группе ОБСЕ. И накануне Франция и США как</w:t>
            </w:r>
            <w:r w:rsidR="00D87E12" w:rsidRPr="00A2019B">
              <w:rPr>
                <w:sz w:val="14"/>
                <w:szCs w:val="14"/>
                <w:lang w:val="ru-RU"/>
              </w:rPr>
              <w:t xml:space="preserve"> </w:t>
            </w:r>
            <w:r w:rsidRPr="00A2019B">
              <w:rPr>
                <w:sz w:val="14"/>
                <w:szCs w:val="14"/>
                <w:lang w:val="ru-RU"/>
              </w:rPr>
              <w:t>сопредседатели этой группы призвали Россию дать разъяснения о роли Турции в карабахском</w:t>
            </w:r>
            <w:r w:rsidR="00D87E12" w:rsidRPr="00A2019B">
              <w:rPr>
                <w:sz w:val="14"/>
                <w:szCs w:val="14"/>
                <w:lang w:val="ru-RU"/>
              </w:rPr>
              <w:t xml:space="preserve"> </w:t>
            </w:r>
            <w:r w:rsidRPr="00A2019B">
              <w:rPr>
                <w:sz w:val="14"/>
                <w:szCs w:val="14"/>
                <w:lang w:val="ru-RU"/>
              </w:rPr>
              <w:t>урегулировании. И вообще много возникает очень вопросов по поводу центра с Турцией</w:t>
            </w:r>
            <w:r w:rsidR="00D87E12" w:rsidRPr="00A2019B">
              <w:rPr>
                <w:sz w:val="14"/>
                <w:szCs w:val="14"/>
                <w:lang w:val="ru-RU"/>
              </w:rPr>
              <w:t xml:space="preserve"> </w:t>
            </w:r>
            <w:r w:rsidRPr="00A2019B">
              <w:rPr>
                <w:sz w:val="14"/>
                <w:szCs w:val="14"/>
                <w:lang w:val="ru-RU"/>
              </w:rPr>
              <w:t>по контролю за прекращением огня. Президент Эрдоган и глава МИД Турции заявляли о том,</w:t>
            </w:r>
            <w:r w:rsidR="00D87E12" w:rsidRPr="00A2019B">
              <w:rPr>
                <w:sz w:val="14"/>
                <w:szCs w:val="14"/>
                <w:lang w:val="ru-RU"/>
              </w:rPr>
              <w:t xml:space="preserve"> </w:t>
            </w:r>
            <w:r w:rsidRPr="00A2019B">
              <w:rPr>
                <w:sz w:val="14"/>
                <w:szCs w:val="14"/>
                <w:lang w:val="ru-RU"/>
              </w:rPr>
              <w:t>что турки будут принимать участие в миротворческой миссии на совместной основе с Россией.</w:t>
            </w:r>
            <w:r w:rsidR="00D87E12" w:rsidRPr="00A2019B">
              <w:rPr>
                <w:sz w:val="14"/>
                <w:szCs w:val="14"/>
                <w:lang w:val="ru-RU"/>
              </w:rPr>
              <w:t xml:space="preserve"> </w:t>
            </w:r>
            <w:r w:rsidRPr="00A2019B">
              <w:rPr>
                <w:sz w:val="14"/>
                <w:szCs w:val="14"/>
                <w:lang w:val="ru-RU"/>
              </w:rPr>
              <w:t>Действительно ли это так? И чем будет этот центр заниматься? И самое интересное, где он</w:t>
            </w:r>
            <w:r w:rsidR="00D87E12" w:rsidRPr="00A2019B">
              <w:rPr>
                <w:sz w:val="14"/>
                <w:szCs w:val="14"/>
                <w:lang w:val="ru-RU"/>
              </w:rPr>
              <w:t xml:space="preserve"> </w:t>
            </w:r>
            <w:r w:rsidRPr="00A2019B">
              <w:rPr>
                <w:sz w:val="14"/>
                <w:szCs w:val="14"/>
                <w:lang w:val="ru-RU"/>
              </w:rPr>
              <w:t>всё-таки будет в итоге дислоцироваться?</w:t>
            </w:r>
            <w:r w:rsidR="00D87E12" w:rsidRPr="00A2019B">
              <w:rPr>
                <w:sz w:val="14"/>
                <w:szCs w:val="14"/>
                <w:lang w:val="ru-RU"/>
              </w:rPr>
              <w:t xml:space="preserve"> </w:t>
            </w:r>
            <w:r w:rsidRPr="00A2019B">
              <w:rPr>
                <w:sz w:val="14"/>
                <w:szCs w:val="14"/>
                <w:lang w:val="ru-RU"/>
              </w:rPr>
              <w:t>В.Путин: Что касается Турции, роли Турции, об этом хорошо известно, об этом прямо говорили</w:t>
            </w:r>
            <w:r w:rsidR="00D87E12" w:rsidRPr="00A2019B">
              <w:rPr>
                <w:sz w:val="14"/>
                <w:szCs w:val="14"/>
                <w:lang w:val="ru-RU"/>
              </w:rPr>
              <w:t xml:space="preserve"> </w:t>
            </w:r>
            <w:r w:rsidRPr="00A2019B">
              <w:rPr>
                <w:sz w:val="14"/>
                <w:szCs w:val="14"/>
                <w:lang w:val="ru-RU"/>
              </w:rPr>
              <w:t>неоднократно в Азербайджане, да и турецкая сторона этого никогда не скрывала, они</w:t>
            </w:r>
            <w:r w:rsidR="00D87E12" w:rsidRPr="00A2019B">
              <w:rPr>
                <w:sz w:val="14"/>
                <w:szCs w:val="14"/>
                <w:lang w:val="ru-RU"/>
              </w:rPr>
              <w:t xml:space="preserve"> </w:t>
            </w:r>
            <w:r w:rsidRPr="00A2019B">
              <w:rPr>
                <w:sz w:val="14"/>
                <w:szCs w:val="14"/>
                <w:lang w:val="ru-RU"/>
              </w:rPr>
              <w:t>поддерживали в одностороннем порядке Азербайджан.</w:t>
            </w:r>
            <w:r w:rsidR="00D87E12" w:rsidRPr="00A2019B">
              <w:rPr>
                <w:sz w:val="14"/>
                <w:szCs w:val="14"/>
                <w:lang w:val="ru-RU"/>
              </w:rPr>
              <w:t xml:space="preserve"> </w:t>
            </w:r>
            <w:r w:rsidRPr="00A2019B">
              <w:rPr>
                <w:sz w:val="14"/>
                <w:szCs w:val="14"/>
                <w:lang w:val="ru-RU"/>
              </w:rPr>
              <w:t>Но что я могу Вам сказать? Это геополитические последствия развала Советского Союза. Мы</w:t>
            </w:r>
            <w:r w:rsidR="00D87E12" w:rsidRPr="00A2019B">
              <w:rPr>
                <w:sz w:val="14"/>
                <w:szCs w:val="14"/>
                <w:lang w:val="ru-RU"/>
              </w:rPr>
              <w:t xml:space="preserve"> </w:t>
            </w:r>
            <w:r w:rsidRPr="00A2019B">
              <w:rPr>
                <w:sz w:val="14"/>
                <w:szCs w:val="14"/>
                <w:lang w:val="ru-RU"/>
              </w:rPr>
              <w:t>всё время говорим об этом как-то в общем и целом. Здесь не в общем и целом, здесь</w:t>
            </w:r>
            <w:r w:rsidR="00D87E12" w:rsidRPr="00A2019B">
              <w:rPr>
                <w:sz w:val="14"/>
                <w:szCs w:val="14"/>
                <w:lang w:val="ru-RU"/>
              </w:rPr>
              <w:t xml:space="preserve"> </w:t>
            </w:r>
            <w:r w:rsidRPr="00A2019B">
              <w:rPr>
                <w:sz w:val="14"/>
                <w:szCs w:val="14"/>
                <w:lang w:val="ru-RU"/>
              </w:rPr>
              <w:t>совершенно конкретные события, которые мы сейчас наблюдаем, свидетелями которых мы</w:t>
            </w:r>
            <w:r w:rsidR="00D87E12" w:rsidRPr="00A2019B">
              <w:rPr>
                <w:sz w:val="14"/>
                <w:szCs w:val="14"/>
                <w:lang w:val="ru-RU"/>
              </w:rPr>
              <w:t xml:space="preserve"> </w:t>
            </w:r>
            <w:r w:rsidRPr="00A2019B">
              <w:rPr>
                <w:sz w:val="14"/>
                <w:szCs w:val="14"/>
                <w:lang w:val="ru-RU"/>
              </w:rPr>
              <w:t>являемся. Что я имею в виду? Азербайджан – это независимое суверенное государство.</w:t>
            </w:r>
            <w:r w:rsidR="00D87E12" w:rsidRPr="00A2019B">
              <w:rPr>
                <w:sz w:val="14"/>
                <w:szCs w:val="14"/>
                <w:lang w:val="ru-RU"/>
              </w:rPr>
              <w:t xml:space="preserve"> </w:t>
            </w:r>
            <w:r w:rsidRPr="00A2019B">
              <w:rPr>
                <w:sz w:val="14"/>
                <w:szCs w:val="14"/>
                <w:lang w:val="ru-RU"/>
              </w:rPr>
              <w:t>Азербайджан вправе выбирать себе союзников так, как он считает нужным. Кто же ему в этом</w:t>
            </w:r>
            <w:r w:rsidR="00D87E12" w:rsidRPr="00A2019B">
              <w:rPr>
                <w:sz w:val="14"/>
                <w:szCs w:val="14"/>
                <w:lang w:val="ru-RU"/>
              </w:rPr>
              <w:t xml:space="preserve"> </w:t>
            </w:r>
            <w:r w:rsidRPr="00A2019B">
              <w:rPr>
                <w:sz w:val="14"/>
                <w:szCs w:val="14"/>
                <w:lang w:val="ru-RU"/>
              </w:rPr>
              <w:t>может отказать? Это первое.</w:t>
            </w:r>
            <w:r w:rsidR="00D87E12" w:rsidRPr="00A2019B">
              <w:rPr>
                <w:sz w:val="14"/>
                <w:szCs w:val="14"/>
                <w:lang w:val="ru-RU"/>
              </w:rPr>
              <w:t xml:space="preserve"> </w:t>
            </w:r>
            <w:r w:rsidRPr="00A2019B">
              <w:rPr>
                <w:sz w:val="14"/>
                <w:szCs w:val="14"/>
                <w:lang w:val="ru-RU"/>
              </w:rPr>
              <w:t>И второе. Я уже сказал, что никто, даже Армения не признала независимость Карабаха. Что это</w:t>
            </w:r>
            <w:r w:rsidR="00D87E12" w:rsidRPr="00A2019B">
              <w:rPr>
                <w:sz w:val="14"/>
                <w:szCs w:val="14"/>
                <w:lang w:val="ru-RU"/>
              </w:rPr>
              <w:t xml:space="preserve"> </w:t>
            </w:r>
            <w:r w:rsidRPr="00A2019B">
              <w:rPr>
                <w:sz w:val="14"/>
                <w:szCs w:val="14"/>
                <w:lang w:val="ru-RU"/>
              </w:rPr>
              <w:t>означает с точки зрения международного права? Что Азербайджан возвращал территории,</w:t>
            </w:r>
            <w:r w:rsidR="00D87E12" w:rsidRPr="00A2019B">
              <w:rPr>
                <w:sz w:val="14"/>
                <w:szCs w:val="14"/>
                <w:lang w:val="ru-RU"/>
              </w:rPr>
              <w:t xml:space="preserve"> </w:t>
            </w:r>
            <w:r w:rsidRPr="00A2019B">
              <w:rPr>
                <w:sz w:val="14"/>
                <w:szCs w:val="14"/>
                <w:lang w:val="ru-RU"/>
              </w:rPr>
              <w:t>которые он считал (Азербайджан), но и всё мировое сообщество считало азербайджанской</w:t>
            </w:r>
            <w:r w:rsidR="00D87E12" w:rsidRPr="00A2019B">
              <w:rPr>
                <w:sz w:val="14"/>
                <w:szCs w:val="14"/>
                <w:lang w:val="ru-RU"/>
              </w:rPr>
              <w:t xml:space="preserve"> </w:t>
            </w:r>
            <w:r w:rsidRPr="00A2019B">
              <w:rPr>
                <w:sz w:val="14"/>
                <w:szCs w:val="14"/>
                <w:lang w:val="ru-RU"/>
              </w:rPr>
              <w:t>территорией. И в этой связи он имел право выбрать любого союзника, кто оказывает ему в этом</w:t>
            </w:r>
            <w:r w:rsidR="00D87E12" w:rsidRPr="00A2019B">
              <w:rPr>
                <w:sz w:val="14"/>
                <w:szCs w:val="14"/>
                <w:lang w:val="ru-RU"/>
              </w:rPr>
              <w:t xml:space="preserve"> </w:t>
            </w:r>
            <w:r w:rsidRPr="00A2019B">
              <w:rPr>
                <w:sz w:val="14"/>
                <w:szCs w:val="14"/>
                <w:lang w:val="ru-RU"/>
              </w:rPr>
              <w:t>известную помощь.</w:t>
            </w:r>
            <w:r w:rsidR="00D87E12" w:rsidRPr="00A2019B">
              <w:rPr>
                <w:sz w:val="14"/>
                <w:szCs w:val="14"/>
                <w:lang w:val="ru-RU"/>
              </w:rPr>
              <w:t xml:space="preserve"> </w:t>
            </w:r>
            <w:r w:rsidRPr="00A2019B">
              <w:rPr>
                <w:sz w:val="14"/>
                <w:szCs w:val="14"/>
                <w:lang w:val="ru-RU"/>
              </w:rPr>
              <w:t>Кстати говоря, Турция изначально была членом Минской группы ОБСЕ по карабахскому</w:t>
            </w:r>
            <w:r w:rsidR="00D87E12" w:rsidRPr="00A2019B">
              <w:rPr>
                <w:sz w:val="14"/>
                <w:szCs w:val="14"/>
                <w:lang w:val="ru-RU"/>
              </w:rPr>
              <w:t xml:space="preserve"> </w:t>
            </w:r>
            <w:r w:rsidRPr="00A2019B">
              <w:rPr>
                <w:sz w:val="14"/>
                <w:szCs w:val="14"/>
                <w:lang w:val="ru-RU"/>
              </w:rPr>
              <w:t>урегулированию. Так что она находилась внутри и международного института, международного</w:t>
            </w:r>
            <w:r w:rsidR="00D87E12" w:rsidRPr="00A2019B">
              <w:rPr>
                <w:sz w:val="14"/>
                <w:szCs w:val="14"/>
                <w:lang w:val="ru-RU"/>
              </w:rPr>
              <w:t xml:space="preserve"> </w:t>
            </w:r>
            <w:r w:rsidRPr="00A2019B">
              <w:rPr>
                <w:sz w:val="14"/>
                <w:szCs w:val="14"/>
                <w:lang w:val="ru-RU"/>
              </w:rPr>
              <w:t>механизма урегулирования. Она не была в качестве сопредседателя. Было три сопредседателя</w:t>
            </w:r>
            <w:r w:rsidR="00D87E12" w:rsidRPr="00A2019B">
              <w:rPr>
                <w:sz w:val="14"/>
                <w:szCs w:val="14"/>
                <w:lang w:val="ru-RU"/>
              </w:rPr>
              <w:t xml:space="preserve"> </w:t>
            </w:r>
            <w:r w:rsidRPr="00A2019B">
              <w:rPr>
                <w:sz w:val="14"/>
                <w:szCs w:val="14"/>
                <w:lang w:val="ru-RU"/>
              </w:rPr>
              <w:t>у нас: Франция, Россия и США. Турция в число сопредседателей не входила, тем не менее она</w:t>
            </w:r>
            <w:r w:rsidR="00D87E12" w:rsidRPr="00A2019B">
              <w:rPr>
                <w:sz w:val="14"/>
                <w:szCs w:val="14"/>
                <w:lang w:val="ru-RU"/>
              </w:rPr>
              <w:t xml:space="preserve"> </w:t>
            </w:r>
            <w:r w:rsidRPr="00A2019B">
              <w:rPr>
                <w:sz w:val="14"/>
                <w:szCs w:val="14"/>
                <w:lang w:val="ru-RU"/>
              </w:rPr>
              <w:t>входила в эту группу, всего там 11 государств.</w:t>
            </w:r>
            <w:r w:rsidR="00D87E12" w:rsidRPr="00A2019B">
              <w:rPr>
                <w:sz w:val="14"/>
                <w:szCs w:val="14"/>
                <w:lang w:val="ru-RU"/>
              </w:rPr>
              <w:t xml:space="preserve"> </w:t>
            </w:r>
            <w:r w:rsidRPr="00A2019B">
              <w:rPr>
                <w:sz w:val="14"/>
                <w:szCs w:val="14"/>
                <w:lang w:val="ru-RU"/>
              </w:rPr>
              <w:t>Можно какие угодно давать оценки действиям Турции, но трудно обвинить Турцию в нарушении</w:t>
            </w:r>
            <w:r w:rsidR="00D87E12" w:rsidRPr="00A2019B">
              <w:rPr>
                <w:sz w:val="14"/>
                <w:szCs w:val="14"/>
                <w:lang w:val="ru-RU"/>
              </w:rPr>
              <w:t xml:space="preserve"> </w:t>
            </w:r>
            <w:r w:rsidRPr="00A2019B">
              <w:rPr>
                <w:sz w:val="14"/>
                <w:szCs w:val="14"/>
                <w:lang w:val="ru-RU"/>
              </w:rPr>
              <w:t>международного права. Там вкусовые оценки могут быть какие угодно, но тем не менее дело</w:t>
            </w:r>
            <w:r w:rsidR="00D87E12" w:rsidRPr="00A2019B">
              <w:rPr>
                <w:sz w:val="14"/>
                <w:szCs w:val="14"/>
                <w:lang w:val="ru-RU"/>
              </w:rPr>
              <w:t xml:space="preserve"> </w:t>
            </w:r>
            <w:r w:rsidRPr="00A2019B">
              <w:rPr>
                <w:sz w:val="14"/>
                <w:szCs w:val="14"/>
                <w:lang w:val="ru-RU"/>
              </w:rPr>
              <w:t>обстоит именно так, как я сейчас об этом сказал.</w:t>
            </w:r>
            <w:r w:rsidR="00D87E12" w:rsidRPr="00A2019B">
              <w:rPr>
                <w:sz w:val="14"/>
                <w:szCs w:val="14"/>
                <w:lang w:val="ru-RU"/>
              </w:rPr>
              <w:t xml:space="preserve"> </w:t>
            </w:r>
            <w:r w:rsidRPr="00A2019B">
              <w:rPr>
                <w:sz w:val="14"/>
                <w:szCs w:val="14"/>
                <w:lang w:val="ru-RU"/>
              </w:rPr>
              <w:t>Что касается миротворческой миссии, то да, действительно, и Азербайджан, и Турция всегда</w:t>
            </w:r>
            <w:r w:rsidR="00D87E12" w:rsidRPr="00A2019B">
              <w:rPr>
                <w:sz w:val="14"/>
                <w:szCs w:val="14"/>
                <w:lang w:val="ru-RU"/>
              </w:rPr>
              <w:t xml:space="preserve"> </w:t>
            </w:r>
            <w:r w:rsidRPr="00A2019B">
              <w:rPr>
                <w:sz w:val="14"/>
                <w:szCs w:val="14"/>
                <w:lang w:val="ru-RU"/>
              </w:rPr>
              <w:t>говорили о возможности участия Турции в миротворческих операциях. Мне всё-таки, кажется,</w:t>
            </w:r>
            <w:r w:rsidR="00D87E12" w:rsidRPr="00A2019B">
              <w:rPr>
                <w:sz w:val="14"/>
                <w:szCs w:val="14"/>
                <w:lang w:val="ru-RU"/>
              </w:rPr>
              <w:t xml:space="preserve"> </w:t>
            </w:r>
            <w:r w:rsidRPr="00A2019B">
              <w:rPr>
                <w:sz w:val="14"/>
                <w:szCs w:val="14"/>
                <w:lang w:val="ru-RU"/>
              </w:rPr>
              <w:t>удалось убедить и наших турецких партнёров, и наших коллег в Азербайджане в том, что</w:t>
            </w:r>
            <w:r w:rsidR="00D87E12" w:rsidRPr="00A2019B">
              <w:rPr>
                <w:sz w:val="14"/>
                <w:szCs w:val="14"/>
                <w:lang w:val="ru-RU"/>
              </w:rPr>
              <w:t xml:space="preserve"> </w:t>
            </w:r>
            <w:r w:rsidRPr="00A2019B">
              <w:rPr>
                <w:sz w:val="14"/>
                <w:szCs w:val="14"/>
                <w:lang w:val="ru-RU"/>
              </w:rPr>
              <w:t>не надо создавать условия или предпосылки для разрушения наших договорённостей, такие</w:t>
            </w:r>
            <w:r w:rsidR="00D87E12" w:rsidRPr="00A2019B">
              <w:rPr>
                <w:sz w:val="14"/>
                <w:szCs w:val="14"/>
                <w:lang w:val="ru-RU"/>
              </w:rPr>
              <w:t xml:space="preserve"> </w:t>
            </w:r>
            <w:r w:rsidRPr="00A2019B">
              <w:rPr>
                <w:sz w:val="14"/>
                <w:szCs w:val="14"/>
                <w:lang w:val="ru-RU"/>
              </w:rPr>
              <w:t>условия, которые бы провоцировали одну из договаривающихся сторон на какие-то крайние</w:t>
            </w:r>
            <w:r w:rsidR="00D87E12" w:rsidRPr="00A2019B">
              <w:rPr>
                <w:sz w:val="14"/>
                <w:szCs w:val="14"/>
                <w:lang w:val="ru-RU"/>
              </w:rPr>
              <w:t xml:space="preserve"> </w:t>
            </w:r>
            <w:r w:rsidRPr="00A2019B">
              <w:rPr>
                <w:sz w:val="14"/>
                <w:szCs w:val="14"/>
                <w:lang w:val="ru-RU"/>
              </w:rPr>
              <w:t>меры и крайние действия.</w:t>
            </w:r>
            <w:r w:rsidR="00D87E12" w:rsidRPr="00A2019B">
              <w:rPr>
                <w:sz w:val="14"/>
                <w:szCs w:val="14"/>
                <w:lang w:val="ru-RU"/>
              </w:rPr>
              <w:t xml:space="preserve"> </w:t>
            </w:r>
            <w:r w:rsidRPr="00A2019B">
              <w:rPr>
                <w:sz w:val="14"/>
                <w:szCs w:val="14"/>
                <w:lang w:val="ru-RU"/>
              </w:rPr>
              <w:t>Что я имею в виду? Имею в виду очень тяжёлое наследие прошлых лет и то, что связано</w:t>
            </w:r>
            <w:r w:rsidR="00D87E12" w:rsidRPr="00A2019B">
              <w:rPr>
                <w:sz w:val="14"/>
                <w:szCs w:val="14"/>
                <w:lang w:val="ru-RU"/>
              </w:rPr>
              <w:t xml:space="preserve"> </w:t>
            </w:r>
            <w:r w:rsidRPr="00A2019B">
              <w:rPr>
                <w:sz w:val="14"/>
                <w:szCs w:val="14"/>
                <w:lang w:val="ru-RU"/>
              </w:rPr>
              <w:t>с трагическими, кровавыми событиями времён Первой мировой войны, с геноцидом. Это</w:t>
            </w:r>
            <w:r w:rsidR="00D87E12" w:rsidRPr="00A2019B">
              <w:rPr>
                <w:sz w:val="14"/>
                <w:szCs w:val="14"/>
                <w:lang w:val="ru-RU"/>
              </w:rPr>
              <w:t xml:space="preserve"> </w:t>
            </w:r>
            <w:r w:rsidRPr="00A2019B">
              <w:rPr>
                <w:sz w:val="14"/>
                <w:szCs w:val="14"/>
                <w:lang w:val="ru-RU"/>
              </w:rPr>
              <w:t>фактор, который можно признавать, можно не признавать, кто-то признаёт, а кто-то в мире</w:t>
            </w:r>
            <w:r w:rsidR="00D87E12" w:rsidRPr="00A2019B">
              <w:rPr>
                <w:sz w:val="14"/>
                <w:szCs w:val="14"/>
                <w:lang w:val="ru-RU"/>
              </w:rPr>
              <w:t xml:space="preserve"> </w:t>
            </w:r>
            <w:r w:rsidRPr="00A2019B">
              <w:rPr>
                <w:sz w:val="14"/>
                <w:szCs w:val="14"/>
                <w:lang w:val="ru-RU"/>
              </w:rPr>
              <w:t>не признаёт.</w:t>
            </w:r>
            <w:r w:rsidR="00D87E12" w:rsidRPr="00A2019B">
              <w:rPr>
                <w:sz w:val="14"/>
                <w:szCs w:val="14"/>
                <w:lang w:val="ru-RU"/>
              </w:rPr>
              <w:t xml:space="preserve"> </w:t>
            </w:r>
            <w:r w:rsidRPr="00A2019B">
              <w:rPr>
                <w:sz w:val="14"/>
                <w:szCs w:val="14"/>
                <w:lang w:val="ru-RU"/>
              </w:rPr>
              <w:t>Для России здесь проблем нет, мы давно это всё признали. Но зачем же провоцировать</w:t>
            </w:r>
            <w:r w:rsidR="00071ACF" w:rsidRPr="00A2019B">
              <w:rPr>
                <w:sz w:val="14"/>
                <w:szCs w:val="14"/>
                <w:lang w:val="ru-RU"/>
              </w:rPr>
              <w:t xml:space="preserve"> </w:t>
            </w:r>
            <w:r w:rsidRPr="00A2019B">
              <w:rPr>
                <w:sz w:val="14"/>
                <w:szCs w:val="14"/>
                <w:lang w:val="ru-RU"/>
              </w:rPr>
              <w:t>армянскую сторону наличием турецких солдат на линии соприкосновения? Мне кажется, что</w:t>
            </w:r>
            <w:r w:rsidR="00071ACF" w:rsidRPr="00A2019B">
              <w:rPr>
                <w:sz w:val="14"/>
                <w:szCs w:val="14"/>
                <w:lang w:val="ru-RU"/>
              </w:rPr>
              <w:t xml:space="preserve"> </w:t>
            </w:r>
            <w:r w:rsidRPr="00A2019B">
              <w:rPr>
                <w:sz w:val="14"/>
                <w:szCs w:val="14"/>
                <w:lang w:val="ru-RU"/>
              </w:rPr>
              <w:t>и Президент Эрдоган это прекрасно понимал и понял.</w:t>
            </w:r>
            <w:r w:rsidR="00071ACF" w:rsidRPr="00A2019B">
              <w:rPr>
                <w:sz w:val="14"/>
                <w:szCs w:val="14"/>
                <w:lang w:val="ru-RU"/>
              </w:rPr>
              <w:t xml:space="preserve"> </w:t>
            </w:r>
            <w:r w:rsidRPr="00A2019B">
              <w:rPr>
                <w:sz w:val="14"/>
                <w:szCs w:val="14"/>
                <w:lang w:val="ru-RU"/>
              </w:rPr>
              <w:t>Здесь не было у нас никаких проблем. Мы договорились о том, что Турция по просьбе</w:t>
            </w:r>
            <w:r w:rsidR="00071ACF" w:rsidRPr="00A2019B">
              <w:rPr>
                <w:sz w:val="14"/>
                <w:szCs w:val="14"/>
                <w:lang w:val="ru-RU"/>
              </w:rPr>
              <w:t xml:space="preserve"> </w:t>
            </w:r>
            <w:r w:rsidRPr="00A2019B">
              <w:rPr>
                <w:sz w:val="14"/>
                <w:szCs w:val="14"/>
                <w:lang w:val="ru-RU"/>
              </w:rPr>
              <w:t>Азербайджана будет принимать участие в контроле за соблюдением прекращения огня. Мы</w:t>
            </w:r>
            <w:r w:rsidR="00AC5F51" w:rsidRPr="00A2019B">
              <w:rPr>
                <w:sz w:val="14"/>
                <w:szCs w:val="14"/>
                <w:lang w:val="ru-RU"/>
              </w:rPr>
              <w:t xml:space="preserve"> </w:t>
            </w:r>
            <w:r w:rsidRPr="00A2019B">
              <w:rPr>
                <w:sz w:val="14"/>
                <w:szCs w:val="14"/>
                <w:lang w:val="ru-RU"/>
              </w:rPr>
              <w:t>сделаем это совместно с Турцией, имею в виду, что у нас есть очень хороший опыт</w:t>
            </w:r>
            <w:r w:rsidR="00AC5F51" w:rsidRPr="00A2019B">
              <w:rPr>
                <w:sz w:val="14"/>
                <w:szCs w:val="14"/>
                <w:lang w:val="ru-RU"/>
              </w:rPr>
              <w:t xml:space="preserve"> </w:t>
            </w:r>
            <w:r w:rsidRPr="00A2019B">
              <w:rPr>
                <w:sz w:val="14"/>
                <w:szCs w:val="14"/>
                <w:lang w:val="ru-RU"/>
              </w:rPr>
              <w:t>взаимодействия на Ближнем Востоке, в том числе в Сирии, где мы и в Идлибской зоне,</w:t>
            </w:r>
            <w:r w:rsidR="00AC5F51" w:rsidRPr="00A2019B">
              <w:rPr>
                <w:sz w:val="14"/>
                <w:szCs w:val="14"/>
                <w:lang w:val="ru-RU"/>
              </w:rPr>
              <w:t xml:space="preserve"> </w:t>
            </w:r>
            <w:r w:rsidRPr="00A2019B">
              <w:rPr>
                <w:sz w:val="14"/>
                <w:szCs w:val="14"/>
                <w:lang w:val="ru-RU"/>
              </w:rPr>
              <w:t>и на границе между Сирией и Турцией вместе организуем совместное патрулирование, конвой.</w:t>
            </w:r>
            <w:r w:rsidR="00AC5F51" w:rsidRPr="00A2019B">
              <w:rPr>
                <w:sz w:val="14"/>
                <w:szCs w:val="14"/>
                <w:lang w:val="ru-RU"/>
              </w:rPr>
              <w:t xml:space="preserve"> </w:t>
            </w:r>
            <w:r w:rsidRPr="00A2019B">
              <w:rPr>
                <w:sz w:val="14"/>
                <w:szCs w:val="14"/>
                <w:lang w:val="ru-RU"/>
              </w:rPr>
              <w:t>Здесь такого рода взаимодействие не требуется, но мы договорились о том, что мы создадим</w:t>
            </w:r>
            <w:r w:rsidR="00AC5F51" w:rsidRPr="00A2019B">
              <w:rPr>
                <w:sz w:val="14"/>
                <w:szCs w:val="14"/>
                <w:lang w:val="ru-RU"/>
              </w:rPr>
              <w:t xml:space="preserve"> </w:t>
            </w:r>
            <w:r w:rsidRPr="00A2019B">
              <w:rPr>
                <w:sz w:val="14"/>
                <w:szCs w:val="14"/>
                <w:lang w:val="ru-RU"/>
              </w:rPr>
              <w:t>совместный центр, который будет использовать беспилотные летательные аппараты, вместе</w:t>
            </w:r>
            <w:r w:rsidR="00AC5F51" w:rsidRPr="00A2019B">
              <w:rPr>
                <w:sz w:val="14"/>
                <w:szCs w:val="14"/>
                <w:lang w:val="ru-RU"/>
              </w:rPr>
              <w:t xml:space="preserve"> </w:t>
            </w:r>
            <w:r w:rsidRPr="00A2019B">
              <w:rPr>
                <w:sz w:val="14"/>
                <w:szCs w:val="14"/>
                <w:lang w:val="ru-RU"/>
              </w:rPr>
              <w:t>будем контролировать ситуацию вдоль линии разграничения с помощью этих летательных</w:t>
            </w:r>
            <w:r w:rsidR="00AC5F51" w:rsidRPr="00A2019B">
              <w:rPr>
                <w:sz w:val="14"/>
                <w:szCs w:val="14"/>
                <w:lang w:val="ru-RU"/>
              </w:rPr>
              <w:t xml:space="preserve"> </w:t>
            </w:r>
            <w:r w:rsidRPr="00A2019B">
              <w:rPr>
                <w:sz w:val="14"/>
                <w:szCs w:val="14"/>
                <w:lang w:val="ru-RU"/>
              </w:rPr>
              <w:t>аппаратов, вместе будем получать информацию и вместе её анализировать и, соответственно,</w:t>
            </w:r>
            <w:r w:rsidR="00AC5F51" w:rsidRPr="00A2019B">
              <w:rPr>
                <w:sz w:val="14"/>
                <w:szCs w:val="14"/>
                <w:lang w:val="ru-RU"/>
              </w:rPr>
              <w:t xml:space="preserve"> </w:t>
            </w:r>
            <w:r w:rsidRPr="00A2019B">
              <w:rPr>
                <w:sz w:val="14"/>
                <w:szCs w:val="14"/>
                <w:lang w:val="ru-RU"/>
              </w:rPr>
              <w:t>делать выводы из того, что происходит в действительности, в жизни в режиме онлайн,</w:t>
            </w:r>
            <w:r w:rsidR="00AC5F51" w:rsidRPr="00A2019B">
              <w:rPr>
                <w:sz w:val="14"/>
                <w:szCs w:val="14"/>
                <w:lang w:val="ru-RU"/>
              </w:rPr>
              <w:t xml:space="preserve"> </w:t>
            </w:r>
            <w:r w:rsidRPr="00A2019B">
              <w:rPr>
                <w:sz w:val="14"/>
                <w:szCs w:val="14"/>
                <w:lang w:val="ru-RU"/>
              </w:rPr>
              <w:t>в режиме текущего времени.</w:t>
            </w:r>
            <w:r w:rsidR="00AC5F51" w:rsidRPr="00A2019B">
              <w:rPr>
                <w:sz w:val="14"/>
                <w:szCs w:val="14"/>
                <w:lang w:val="ru-RU"/>
              </w:rPr>
              <w:t xml:space="preserve"> </w:t>
            </w:r>
            <w:r w:rsidRPr="00A2019B">
              <w:rPr>
                <w:sz w:val="14"/>
                <w:szCs w:val="14"/>
                <w:lang w:val="ru-RU"/>
              </w:rPr>
              <w:t>Где он будет размещаться – это другой вопрос. Очевидно, что он будет на суверенной</w:t>
            </w:r>
            <w:r w:rsidR="00AC5F51" w:rsidRPr="00A2019B">
              <w:rPr>
                <w:sz w:val="14"/>
                <w:szCs w:val="14"/>
                <w:lang w:val="ru-RU"/>
              </w:rPr>
              <w:t xml:space="preserve"> </w:t>
            </w:r>
            <w:r w:rsidRPr="00A2019B">
              <w:rPr>
                <w:sz w:val="14"/>
                <w:szCs w:val="14"/>
                <w:lang w:val="ru-RU"/>
              </w:rPr>
              <w:t>территории Азербайджана находиться, и Азербайджан вправе принять решение</w:t>
            </w:r>
            <w:r w:rsidR="00AC5F51" w:rsidRPr="00A2019B">
              <w:rPr>
                <w:sz w:val="14"/>
                <w:szCs w:val="14"/>
                <w:lang w:val="ru-RU"/>
              </w:rPr>
              <w:t xml:space="preserve"> </w:t>
            </w:r>
            <w:r w:rsidRPr="00A2019B">
              <w:rPr>
                <w:sz w:val="14"/>
                <w:szCs w:val="14"/>
                <w:lang w:val="ru-RU"/>
              </w:rPr>
              <w:t>самостоятельно, где он посчитает целесообразным его разместить.</w:t>
            </w:r>
            <w:r w:rsidR="00AC5F51" w:rsidRPr="00A2019B">
              <w:rPr>
                <w:sz w:val="14"/>
                <w:szCs w:val="14"/>
                <w:lang w:val="ru-RU"/>
              </w:rPr>
              <w:t xml:space="preserve"> </w:t>
            </w:r>
            <w:r w:rsidRPr="00A2019B">
              <w:rPr>
                <w:sz w:val="14"/>
                <w:szCs w:val="14"/>
                <w:lang w:val="ru-RU"/>
              </w:rPr>
              <w:t>Вопрос: По поводу вкусовых оценок. Всё-таки очень много, конечно, говорят и рассуждают</w:t>
            </w:r>
            <w:r w:rsidR="00AC5F51" w:rsidRPr="00A2019B">
              <w:rPr>
                <w:sz w:val="14"/>
                <w:szCs w:val="14"/>
                <w:lang w:val="ru-RU"/>
              </w:rPr>
              <w:t xml:space="preserve"> </w:t>
            </w:r>
            <w:r w:rsidRPr="00A2019B">
              <w:rPr>
                <w:sz w:val="14"/>
                <w:szCs w:val="14"/>
                <w:lang w:val="ru-RU"/>
              </w:rPr>
              <w:t>о роли Турции в этом регионе. Как Вы в целом оцениваете её роль во всём произошедшем</w:t>
            </w:r>
            <w:r w:rsidR="00AC5F51" w:rsidRPr="00A2019B">
              <w:rPr>
                <w:sz w:val="14"/>
                <w:szCs w:val="14"/>
                <w:lang w:val="ru-RU"/>
              </w:rPr>
              <w:t xml:space="preserve"> </w:t>
            </w:r>
            <w:r w:rsidRPr="00A2019B">
              <w:rPr>
                <w:sz w:val="14"/>
                <w:szCs w:val="14"/>
                <w:lang w:val="ru-RU"/>
              </w:rPr>
              <w:t>в последние месяцы?</w:t>
            </w:r>
            <w:r w:rsidR="00AC5F51" w:rsidRPr="00A2019B">
              <w:rPr>
                <w:sz w:val="14"/>
                <w:szCs w:val="14"/>
                <w:lang w:val="ru-RU"/>
              </w:rPr>
              <w:t xml:space="preserve"> </w:t>
            </w:r>
            <w:r w:rsidRPr="00A2019B">
              <w:rPr>
                <w:sz w:val="14"/>
                <w:szCs w:val="14"/>
                <w:lang w:val="ru-RU"/>
              </w:rPr>
              <w:t>В.Путин: Я думаю, что это не входит в мои обязанности – оценивать роль Турции. Разные</w:t>
            </w:r>
            <w:r w:rsidR="00AC5F51" w:rsidRPr="00A2019B">
              <w:rPr>
                <w:sz w:val="14"/>
                <w:szCs w:val="14"/>
                <w:lang w:val="ru-RU"/>
              </w:rPr>
              <w:t xml:space="preserve"> </w:t>
            </w:r>
            <w:r w:rsidRPr="00A2019B">
              <w:rPr>
                <w:sz w:val="14"/>
                <w:szCs w:val="14"/>
                <w:lang w:val="ru-RU"/>
              </w:rPr>
              <w:t>люди, разные страны оценивают по-разному. На данный момент времени по-разному</w:t>
            </w:r>
            <w:r w:rsidR="00AC5F51" w:rsidRPr="00A2019B">
              <w:rPr>
                <w:sz w:val="14"/>
                <w:szCs w:val="14"/>
                <w:lang w:val="ru-RU"/>
              </w:rPr>
              <w:t xml:space="preserve"> </w:t>
            </w:r>
            <w:r w:rsidRPr="00A2019B">
              <w:rPr>
                <w:sz w:val="14"/>
                <w:szCs w:val="14"/>
                <w:lang w:val="ru-RU"/>
              </w:rPr>
              <w:t>у различных государств складываются отношения с Турцией. Мы знаем предысторию, и подчас</w:t>
            </w:r>
            <w:r w:rsidR="00AC5F51" w:rsidRPr="00A2019B">
              <w:rPr>
                <w:sz w:val="14"/>
                <w:szCs w:val="14"/>
                <w:lang w:val="ru-RU"/>
              </w:rPr>
              <w:t xml:space="preserve"> </w:t>
            </w:r>
            <w:r w:rsidRPr="00A2019B">
              <w:rPr>
                <w:sz w:val="14"/>
                <w:szCs w:val="14"/>
                <w:lang w:val="ru-RU"/>
              </w:rPr>
              <w:t>драматическую предысторию отношений между Турцией и Россией на протяжении веков.</w:t>
            </w:r>
            <w:r w:rsidR="00AC5F51" w:rsidRPr="00A2019B">
              <w:rPr>
                <w:sz w:val="14"/>
                <w:szCs w:val="14"/>
                <w:lang w:val="ru-RU"/>
              </w:rPr>
              <w:t xml:space="preserve"> </w:t>
            </w:r>
            <w:r w:rsidRPr="00A2019B">
              <w:rPr>
                <w:sz w:val="14"/>
                <w:szCs w:val="14"/>
                <w:lang w:val="ru-RU"/>
              </w:rPr>
              <w:t>Но я хочу знаете на что обратить внимание? На то, что, скажем, не менее тяжёлая</w:t>
            </w:r>
            <w:r w:rsidR="00AC5F51" w:rsidRPr="00A2019B">
              <w:rPr>
                <w:sz w:val="14"/>
                <w:szCs w:val="14"/>
                <w:lang w:val="ru-RU"/>
              </w:rPr>
              <w:t xml:space="preserve"> </w:t>
            </w:r>
            <w:r w:rsidRPr="00A2019B">
              <w:rPr>
                <w:sz w:val="14"/>
                <w:szCs w:val="14"/>
                <w:lang w:val="ru-RU"/>
              </w:rPr>
              <w:t>и трагическая история была у многих европейских народов в отношениях друг с другом.</w:t>
            </w:r>
            <w:r w:rsidR="00AC5F51" w:rsidRPr="00A2019B">
              <w:rPr>
                <w:sz w:val="14"/>
                <w:szCs w:val="14"/>
                <w:lang w:val="ru-RU"/>
              </w:rPr>
              <w:t xml:space="preserve"> </w:t>
            </w:r>
            <w:r w:rsidRPr="00A2019B">
              <w:rPr>
                <w:sz w:val="14"/>
                <w:szCs w:val="14"/>
                <w:lang w:val="ru-RU"/>
              </w:rPr>
              <w:t>Например, та же Франция и Германия. Сколько раз они воевали между собой? Сейчас они</w:t>
            </w:r>
            <w:r w:rsidR="00AC5F51" w:rsidRPr="00A2019B">
              <w:rPr>
                <w:sz w:val="14"/>
                <w:szCs w:val="14"/>
                <w:lang w:val="ru-RU"/>
              </w:rPr>
              <w:t xml:space="preserve"> </w:t>
            </w:r>
            <w:r w:rsidRPr="00A2019B">
              <w:rPr>
                <w:sz w:val="14"/>
                <w:szCs w:val="14"/>
                <w:lang w:val="ru-RU"/>
              </w:rPr>
              <w:t>в рамках НАТО вместе осуществляют свои функции по обороне и безопасности, так, как они</w:t>
            </w:r>
            <w:r w:rsidR="00AC5F51" w:rsidRPr="00A2019B">
              <w:rPr>
                <w:sz w:val="14"/>
                <w:szCs w:val="14"/>
                <w:lang w:val="ru-RU"/>
              </w:rPr>
              <w:t xml:space="preserve"> </w:t>
            </w:r>
            <w:r w:rsidRPr="00A2019B">
              <w:rPr>
                <w:sz w:val="14"/>
                <w:szCs w:val="14"/>
                <w:lang w:val="ru-RU"/>
              </w:rPr>
              <w:t>считают нужным это сделать, сотрудничают в рамках Европейского экономического</w:t>
            </w:r>
            <w:r w:rsidR="00AC5F51" w:rsidRPr="00A2019B">
              <w:rPr>
                <w:sz w:val="14"/>
                <w:szCs w:val="14"/>
                <w:lang w:val="ru-RU"/>
              </w:rPr>
              <w:t xml:space="preserve"> </w:t>
            </w:r>
            <w:r w:rsidRPr="00A2019B">
              <w:rPr>
                <w:sz w:val="14"/>
                <w:szCs w:val="14"/>
                <w:lang w:val="ru-RU"/>
              </w:rPr>
              <w:t>сообщества. Они преодолели всё это, перешагнули и в интересах будущего своих народов</w:t>
            </w:r>
            <w:r w:rsidR="00AC5F51" w:rsidRPr="00A2019B">
              <w:rPr>
                <w:sz w:val="14"/>
                <w:szCs w:val="14"/>
                <w:lang w:val="ru-RU"/>
              </w:rPr>
              <w:t xml:space="preserve"> </w:t>
            </w:r>
            <w:r w:rsidRPr="00A2019B">
              <w:rPr>
                <w:sz w:val="14"/>
                <w:szCs w:val="14"/>
                <w:lang w:val="ru-RU"/>
              </w:rPr>
              <w:t>двигаются дальше. Почему мы здесь, в регионе Чёрного моря, не можем сделать то же самое?</w:t>
            </w:r>
            <w:r w:rsidR="00AC5F51" w:rsidRPr="00A2019B">
              <w:rPr>
                <w:sz w:val="14"/>
                <w:szCs w:val="14"/>
                <w:lang w:val="ru-RU"/>
              </w:rPr>
              <w:t xml:space="preserve"> </w:t>
            </w:r>
            <w:r w:rsidRPr="00A2019B">
              <w:rPr>
                <w:sz w:val="14"/>
                <w:szCs w:val="14"/>
                <w:lang w:val="ru-RU"/>
              </w:rPr>
              <w:t>Да, у нас далеко не всегда и не во всём совпадают позиции и точки зрения, они иногда</w:t>
            </w:r>
            <w:r w:rsidR="00AC5F51" w:rsidRPr="00A2019B">
              <w:rPr>
                <w:sz w:val="14"/>
                <w:szCs w:val="14"/>
                <w:lang w:val="ru-RU"/>
              </w:rPr>
              <w:t xml:space="preserve"> </w:t>
            </w:r>
            <w:r w:rsidRPr="00A2019B">
              <w:rPr>
                <w:sz w:val="14"/>
                <w:szCs w:val="14"/>
                <w:lang w:val="ru-RU"/>
              </w:rPr>
              <w:t>и диаметрально расходятся. Но в том и заключается искусство дипломатии – в том, чтобы</w:t>
            </w:r>
            <w:r w:rsidR="00AC5F51" w:rsidRPr="00A2019B">
              <w:rPr>
                <w:sz w:val="14"/>
                <w:szCs w:val="14"/>
                <w:lang w:val="ru-RU"/>
              </w:rPr>
              <w:t xml:space="preserve"> </w:t>
            </w:r>
            <w:r w:rsidRPr="00A2019B">
              <w:rPr>
                <w:sz w:val="14"/>
                <w:szCs w:val="14"/>
                <w:lang w:val="ru-RU"/>
              </w:rPr>
              <w:t>найти компромисс. А компромисс основан на уважении к партнёру.</w:t>
            </w:r>
            <w:r w:rsidR="00AC5F51" w:rsidRPr="00A2019B">
              <w:rPr>
                <w:sz w:val="14"/>
                <w:szCs w:val="14"/>
                <w:lang w:val="ru-RU"/>
              </w:rPr>
              <w:t xml:space="preserve"> </w:t>
            </w:r>
            <w:r w:rsidRPr="00A2019B">
              <w:rPr>
                <w:sz w:val="14"/>
                <w:szCs w:val="14"/>
                <w:lang w:val="ru-RU"/>
              </w:rPr>
              <w:t>Вопрос: Со стороны Франции и США сквозит уже чуть ли не обида, что их-то вот не позвали</w:t>
            </w:r>
            <w:r w:rsidR="00AC5F51" w:rsidRPr="00A2019B">
              <w:rPr>
                <w:sz w:val="14"/>
                <w:szCs w:val="14"/>
                <w:lang w:val="ru-RU"/>
              </w:rPr>
              <w:t xml:space="preserve"> </w:t>
            </w:r>
            <w:r w:rsidRPr="00A2019B">
              <w:rPr>
                <w:sz w:val="14"/>
                <w:szCs w:val="14"/>
                <w:lang w:val="ru-RU"/>
              </w:rPr>
              <w:t>поучаствовать в этом соглашении. Вообще, у этого формата – Минской группы ОБСЕ – есть</w:t>
            </w:r>
            <w:r w:rsidR="00AC5F51" w:rsidRPr="00A2019B">
              <w:rPr>
                <w:sz w:val="14"/>
                <w:szCs w:val="14"/>
                <w:lang w:val="ru-RU"/>
              </w:rPr>
              <w:t xml:space="preserve"> </w:t>
            </w:r>
            <w:r w:rsidRPr="00A2019B">
              <w:rPr>
                <w:sz w:val="14"/>
                <w:szCs w:val="14"/>
                <w:lang w:val="ru-RU"/>
              </w:rPr>
              <w:t>будущее?</w:t>
            </w:r>
            <w:r w:rsidR="00AC5F51" w:rsidRPr="00A2019B">
              <w:rPr>
                <w:sz w:val="14"/>
                <w:szCs w:val="14"/>
                <w:lang w:val="ru-RU"/>
              </w:rPr>
              <w:t xml:space="preserve"> </w:t>
            </w:r>
            <w:r w:rsidRPr="00A2019B">
              <w:rPr>
                <w:sz w:val="14"/>
                <w:szCs w:val="14"/>
                <w:lang w:val="ru-RU"/>
              </w:rPr>
              <w:t>В.Путин: Ну, я не знаю по поводу обид. Когда вопросы решаются, обсуждаются на таком</w:t>
            </w:r>
            <w:r w:rsidR="00AC5F51" w:rsidRPr="00A2019B">
              <w:rPr>
                <w:sz w:val="14"/>
                <w:szCs w:val="14"/>
                <w:lang w:val="ru-RU"/>
              </w:rPr>
              <w:t xml:space="preserve"> </w:t>
            </w:r>
            <w:r w:rsidRPr="00A2019B">
              <w:rPr>
                <w:sz w:val="14"/>
                <w:szCs w:val="14"/>
                <w:lang w:val="ru-RU"/>
              </w:rPr>
              <w:t>уровне и в таком контексте, когда речь идёт о здоровье и о жизни, о судьбе миллионов людей</w:t>
            </w:r>
            <w:r w:rsidR="00AC5F51" w:rsidRPr="00A2019B">
              <w:rPr>
                <w:sz w:val="14"/>
                <w:szCs w:val="14"/>
                <w:lang w:val="ru-RU"/>
              </w:rPr>
              <w:t xml:space="preserve"> </w:t>
            </w:r>
            <w:r w:rsidRPr="00A2019B">
              <w:rPr>
                <w:sz w:val="14"/>
                <w:szCs w:val="14"/>
                <w:lang w:val="ru-RU"/>
              </w:rPr>
              <w:t>на длительную историческую перспективу, здесь не до обид, не до того, чтобы губы надувать.</w:t>
            </w:r>
            <w:r w:rsidR="00AC5F51" w:rsidRPr="00A2019B">
              <w:rPr>
                <w:sz w:val="14"/>
                <w:szCs w:val="14"/>
                <w:lang w:val="ru-RU"/>
              </w:rPr>
              <w:t xml:space="preserve"> </w:t>
            </w:r>
            <w:r w:rsidRPr="00A2019B">
              <w:rPr>
                <w:sz w:val="14"/>
                <w:szCs w:val="14"/>
                <w:lang w:val="ru-RU"/>
              </w:rPr>
              <w:t>Здесь совершенно другие категории учитываются. И я думаю, что на самом деле это</w:t>
            </w:r>
            <w:r w:rsidR="00AC5F51" w:rsidRPr="00A2019B">
              <w:rPr>
                <w:sz w:val="14"/>
                <w:szCs w:val="14"/>
                <w:lang w:val="ru-RU"/>
              </w:rPr>
              <w:t xml:space="preserve"> </w:t>
            </w:r>
            <w:r w:rsidRPr="00A2019B">
              <w:rPr>
                <w:sz w:val="14"/>
                <w:szCs w:val="14"/>
                <w:lang w:val="ru-RU"/>
              </w:rPr>
              <w:t>гипербола, такое художественное преувеличение, что кто-то на кого-то обиделся.</w:t>
            </w:r>
            <w:r w:rsidR="00AC5F51" w:rsidRPr="00A2019B">
              <w:rPr>
                <w:sz w:val="14"/>
                <w:szCs w:val="14"/>
                <w:lang w:val="ru-RU"/>
              </w:rPr>
              <w:t xml:space="preserve"> </w:t>
            </w:r>
            <w:r w:rsidRPr="00A2019B">
              <w:rPr>
                <w:sz w:val="14"/>
                <w:szCs w:val="14"/>
                <w:lang w:val="ru-RU"/>
              </w:rPr>
              <w:t>Что касается роли Франции и Соединённых Штатов, я очень высоко их оцениваю, роль</w:t>
            </w:r>
            <w:r w:rsidR="00AC5F51" w:rsidRPr="00A2019B">
              <w:rPr>
                <w:sz w:val="14"/>
                <w:szCs w:val="14"/>
                <w:lang w:val="ru-RU"/>
              </w:rPr>
              <w:t xml:space="preserve"> </w:t>
            </w:r>
            <w:r w:rsidRPr="00A2019B">
              <w:rPr>
                <w:sz w:val="14"/>
                <w:szCs w:val="14"/>
                <w:lang w:val="ru-RU"/>
              </w:rPr>
              <w:t>и Франции, и Соединённых Штатов, потому что они всегда были в материале, всегда искали</w:t>
            </w:r>
            <w:r w:rsidR="00AC5F51" w:rsidRPr="00A2019B">
              <w:rPr>
                <w:sz w:val="14"/>
                <w:szCs w:val="14"/>
                <w:lang w:val="ru-RU"/>
              </w:rPr>
              <w:t xml:space="preserve"> </w:t>
            </w:r>
            <w:r w:rsidRPr="00A2019B">
              <w:rPr>
                <w:sz w:val="14"/>
                <w:szCs w:val="14"/>
                <w:lang w:val="ru-RU"/>
              </w:rPr>
              <w:t>пути решения этой проблемы. Я уже сказал, начиная с 2013 года, когда Россия предложила</w:t>
            </w:r>
            <w:r w:rsidR="00AC5F51" w:rsidRPr="00A2019B">
              <w:rPr>
                <w:sz w:val="14"/>
                <w:szCs w:val="14"/>
                <w:lang w:val="ru-RU"/>
              </w:rPr>
              <w:t xml:space="preserve"> </w:t>
            </w:r>
            <w:r w:rsidRPr="00A2019B">
              <w:rPr>
                <w:sz w:val="14"/>
                <w:szCs w:val="14"/>
                <w:lang w:val="ru-RU"/>
              </w:rPr>
              <w:t>основу формата будущего урегулирования, и Франция, и США в целом поддержали наше</w:t>
            </w:r>
            <w:r w:rsidR="00AC5F51" w:rsidRPr="00A2019B">
              <w:rPr>
                <w:sz w:val="14"/>
                <w:szCs w:val="14"/>
                <w:lang w:val="ru-RU"/>
              </w:rPr>
              <w:t xml:space="preserve"> </w:t>
            </w:r>
            <w:r w:rsidRPr="00A2019B">
              <w:rPr>
                <w:sz w:val="14"/>
                <w:szCs w:val="14"/>
                <w:lang w:val="ru-RU"/>
              </w:rPr>
              <w:t>предложение и вместе солидарно работали.</w:t>
            </w:r>
            <w:r w:rsidR="00AC5F51" w:rsidRPr="00A2019B">
              <w:rPr>
                <w:sz w:val="14"/>
                <w:szCs w:val="14"/>
                <w:lang w:val="ru-RU"/>
              </w:rPr>
              <w:t xml:space="preserve"> </w:t>
            </w:r>
            <w:r w:rsidRPr="00A2019B">
              <w:rPr>
                <w:sz w:val="14"/>
                <w:szCs w:val="14"/>
                <w:lang w:val="ru-RU"/>
              </w:rPr>
              <w:t>Вопрос в том, как и возможно ли было учитывать до деталей мнение каждого из наших</w:t>
            </w:r>
            <w:r w:rsidR="00AC5F51" w:rsidRPr="00A2019B">
              <w:rPr>
                <w:sz w:val="14"/>
                <w:szCs w:val="14"/>
                <w:lang w:val="ru-RU"/>
              </w:rPr>
              <w:t xml:space="preserve"> </w:t>
            </w:r>
            <w:r w:rsidRPr="00A2019B">
              <w:rPr>
                <w:sz w:val="14"/>
                <w:szCs w:val="14"/>
                <w:lang w:val="ru-RU"/>
              </w:rPr>
              <w:t>партнёров при подготовке итогового документа, который лёг в основу нашего трёхстороннего</w:t>
            </w:r>
            <w:r w:rsidR="00AC5F51" w:rsidRPr="00A2019B">
              <w:rPr>
                <w:sz w:val="14"/>
                <w:szCs w:val="14"/>
                <w:lang w:val="ru-RU"/>
              </w:rPr>
              <w:t xml:space="preserve"> </w:t>
            </w:r>
            <w:r w:rsidRPr="00A2019B">
              <w:rPr>
                <w:sz w:val="14"/>
                <w:szCs w:val="14"/>
                <w:lang w:val="ru-RU"/>
              </w:rPr>
              <w:t>заявления, в основу прекращения огня, но это вопрос чисто технического характера, ведь это</w:t>
            </w:r>
            <w:r w:rsidR="00AC5F51" w:rsidRPr="00A2019B">
              <w:rPr>
                <w:sz w:val="14"/>
                <w:szCs w:val="14"/>
                <w:lang w:val="ru-RU"/>
              </w:rPr>
              <w:t xml:space="preserve"> </w:t>
            </w:r>
            <w:r w:rsidRPr="00A2019B">
              <w:rPr>
                <w:sz w:val="14"/>
                <w:szCs w:val="14"/>
                <w:lang w:val="ru-RU"/>
              </w:rPr>
              <w:t>не подрывает базы нашей общей позиции по принципам урегулирования. Заявление, которое</w:t>
            </w:r>
            <w:r w:rsidR="00AC5F51" w:rsidRPr="00A2019B">
              <w:rPr>
                <w:sz w:val="14"/>
                <w:szCs w:val="14"/>
                <w:lang w:val="ru-RU"/>
              </w:rPr>
              <w:t xml:space="preserve"> </w:t>
            </w:r>
            <w:r w:rsidRPr="00A2019B">
              <w:rPr>
                <w:sz w:val="14"/>
                <w:szCs w:val="14"/>
                <w:lang w:val="ru-RU"/>
              </w:rPr>
              <w:t>мы сделали, полностью основано на трёхсторонней позиции.</w:t>
            </w:r>
            <w:r w:rsidR="00AC5F51" w:rsidRPr="00A2019B">
              <w:rPr>
                <w:sz w:val="14"/>
                <w:szCs w:val="14"/>
                <w:lang w:val="ru-RU"/>
              </w:rPr>
              <w:t xml:space="preserve"> </w:t>
            </w:r>
            <w:r w:rsidRPr="00A2019B">
              <w:rPr>
                <w:sz w:val="14"/>
                <w:szCs w:val="14"/>
                <w:lang w:val="ru-RU"/>
              </w:rPr>
              <w:t>Что касается самого подписания, подписантов, ведь, обратите внимание, я уже сказал, что 19–</w:t>
            </w:r>
            <w:r w:rsidR="00AC5F51" w:rsidRPr="00A2019B">
              <w:rPr>
                <w:sz w:val="14"/>
                <w:szCs w:val="14"/>
                <w:lang w:val="ru-RU"/>
              </w:rPr>
              <w:t xml:space="preserve"> </w:t>
            </w:r>
            <w:r w:rsidRPr="00A2019B">
              <w:rPr>
                <w:sz w:val="14"/>
                <w:szCs w:val="14"/>
                <w:lang w:val="ru-RU"/>
              </w:rPr>
              <w:t>20 числа у меня была серия телефонных переговоров и с Президентом Алиевым,</w:t>
            </w:r>
            <w:r w:rsidR="00AC5F51" w:rsidRPr="00A2019B">
              <w:rPr>
                <w:sz w:val="14"/>
                <w:szCs w:val="14"/>
                <w:lang w:val="ru-RU"/>
              </w:rPr>
              <w:t xml:space="preserve"> </w:t>
            </w:r>
            <w:r w:rsidRPr="00A2019B">
              <w:rPr>
                <w:sz w:val="14"/>
                <w:szCs w:val="14"/>
                <w:lang w:val="ru-RU"/>
              </w:rPr>
              <w:t>и с Премьером Пашиняном, и в целом, как мне казалось, мы уже почти достигли</w:t>
            </w:r>
            <w:r w:rsidR="00AC5F51" w:rsidRPr="00A2019B">
              <w:rPr>
                <w:sz w:val="14"/>
                <w:szCs w:val="14"/>
                <w:lang w:val="ru-RU"/>
              </w:rPr>
              <w:t xml:space="preserve"> </w:t>
            </w:r>
            <w:r w:rsidRPr="00A2019B">
              <w:rPr>
                <w:sz w:val="14"/>
                <w:szCs w:val="14"/>
                <w:lang w:val="ru-RU"/>
              </w:rPr>
              <w:t>договорённостей о прекращении боевых действий. Но не сложилось, не срослось,</w:t>
            </w:r>
            <w:r w:rsidR="00AC5F51" w:rsidRPr="00A2019B">
              <w:rPr>
                <w:sz w:val="14"/>
                <w:szCs w:val="14"/>
                <w:lang w:val="ru-RU"/>
              </w:rPr>
              <w:t xml:space="preserve"> </w:t>
            </w:r>
            <w:r w:rsidRPr="00A2019B">
              <w:rPr>
                <w:sz w:val="14"/>
                <w:szCs w:val="14"/>
                <w:lang w:val="ru-RU"/>
              </w:rPr>
              <w:t>к сожалению. И ситуация начала складываться таким образом, что, в общем, произошло то, что</w:t>
            </w:r>
            <w:r w:rsidR="00AC5F51" w:rsidRPr="00A2019B">
              <w:rPr>
                <w:sz w:val="14"/>
                <w:szCs w:val="14"/>
                <w:lang w:val="ru-RU"/>
              </w:rPr>
              <w:t xml:space="preserve"> </w:t>
            </w:r>
            <w:r w:rsidRPr="00A2019B">
              <w:rPr>
                <w:sz w:val="14"/>
                <w:szCs w:val="14"/>
                <w:lang w:val="ru-RU"/>
              </w:rPr>
              <w:t>можно было предвидеть, а именно, вооружённые силы Республики Азербайджан взяли под</w:t>
            </w:r>
            <w:r w:rsidR="00AC5F51" w:rsidRPr="00A2019B">
              <w:rPr>
                <w:sz w:val="14"/>
                <w:szCs w:val="14"/>
                <w:lang w:val="ru-RU"/>
              </w:rPr>
              <w:t xml:space="preserve"> </w:t>
            </w:r>
            <w:r w:rsidRPr="00A2019B">
              <w:rPr>
                <w:sz w:val="14"/>
                <w:szCs w:val="14"/>
                <w:lang w:val="ru-RU"/>
              </w:rPr>
              <w:t>контроль Шушу. И, как абсолютно справедливо и по-честному, обращаясь к своему народу,</w:t>
            </w:r>
            <w:r w:rsidR="00AC5F51" w:rsidRPr="00A2019B">
              <w:rPr>
                <w:sz w:val="14"/>
                <w:szCs w:val="14"/>
                <w:lang w:val="ru-RU"/>
              </w:rPr>
              <w:t xml:space="preserve"> </w:t>
            </w:r>
            <w:r w:rsidRPr="00A2019B">
              <w:rPr>
                <w:sz w:val="14"/>
                <w:szCs w:val="14"/>
                <w:lang w:val="ru-RU"/>
              </w:rPr>
              <w:t>сказал Премьер-министр Пашинян, по-моему, вчера. Он сказал, что ситуация сложилась</w:t>
            </w:r>
            <w:r w:rsidR="00AC5F51" w:rsidRPr="00A2019B">
              <w:rPr>
                <w:sz w:val="14"/>
                <w:szCs w:val="14"/>
                <w:lang w:val="ru-RU"/>
              </w:rPr>
              <w:t xml:space="preserve"> </w:t>
            </w:r>
            <w:r w:rsidRPr="00A2019B">
              <w:rPr>
                <w:sz w:val="14"/>
                <w:szCs w:val="14"/>
                <w:lang w:val="ru-RU"/>
              </w:rPr>
              <w:t>критическая для армянской стороны. Счёт шёл на часы. И возможно было взять и Степанакерт,</w:t>
            </w:r>
            <w:r w:rsidR="00AC5F51" w:rsidRPr="00A2019B">
              <w:rPr>
                <w:sz w:val="14"/>
                <w:szCs w:val="14"/>
                <w:lang w:val="ru-RU"/>
              </w:rPr>
              <w:t xml:space="preserve"> </w:t>
            </w:r>
            <w:r w:rsidRPr="00A2019B">
              <w:rPr>
                <w:sz w:val="14"/>
                <w:szCs w:val="14"/>
                <w:lang w:val="ru-RU"/>
              </w:rPr>
              <w:t>и дальнейшее движение. Поэтому в этих условиях, если уж сказать прямо, в интересах</w:t>
            </w:r>
            <w:r w:rsidR="00AC5F51" w:rsidRPr="00A2019B">
              <w:rPr>
                <w:sz w:val="14"/>
                <w:szCs w:val="14"/>
                <w:lang w:val="ru-RU"/>
              </w:rPr>
              <w:t xml:space="preserve"> </w:t>
            </w:r>
            <w:r w:rsidRPr="00A2019B">
              <w:rPr>
                <w:sz w:val="14"/>
                <w:szCs w:val="14"/>
                <w:lang w:val="ru-RU"/>
              </w:rPr>
              <w:t>армянской стороны было немедленно прекратить боевые действия. Где уж здесь проводить</w:t>
            </w:r>
            <w:r w:rsidR="00AC5F51" w:rsidRPr="00A2019B">
              <w:rPr>
                <w:sz w:val="14"/>
                <w:szCs w:val="14"/>
                <w:lang w:val="ru-RU"/>
              </w:rPr>
              <w:t xml:space="preserve"> </w:t>
            </w:r>
            <w:r w:rsidRPr="00A2019B">
              <w:rPr>
                <w:sz w:val="14"/>
                <w:szCs w:val="14"/>
                <w:lang w:val="ru-RU"/>
              </w:rPr>
              <w:t>дополнительные консультации в рамках Минской группы ОБСЕ? Это просто нереалистично.</w:t>
            </w:r>
            <w:r w:rsidR="00AC5F51" w:rsidRPr="00A2019B">
              <w:rPr>
                <w:sz w:val="14"/>
                <w:szCs w:val="14"/>
                <w:lang w:val="ru-RU"/>
              </w:rPr>
              <w:t xml:space="preserve"> </w:t>
            </w:r>
            <w:r w:rsidRPr="00A2019B">
              <w:rPr>
                <w:sz w:val="14"/>
                <w:szCs w:val="14"/>
                <w:lang w:val="ru-RU"/>
              </w:rPr>
              <w:t>Надо исходить из реалий, которые сложились на поле боя в данный момент времени. Мы так</w:t>
            </w:r>
            <w:r w:rsidR="00AC5F51" w:rsidRPr="00A2019B">
              <w:rPr>
                <w:sz w:val="14"/>
                <w:szCs w:val="14"/>
                <w:lang w:val="ru-RU"/>
              </w:rPr>
              <w:t xml:space="preserve"> </w:t>
            </w:r>
            <w:r w:rsidRPr="00A2019B">
              <w:rPr>
                <w:sz w:val="14"/>
                <w:szCs w:val="14"/>
                <w:lang w:val="ru-RU"/>
              </w:rPr>
              <w:t>и сделали в интересах как азербайджанского, так и армянского народов.</w:t>
            </w:r>
            <w:r w:rsidR="00AC5F51" w:rsidRPr="00A2019B">
              <w:rPr>
                <w:sz w:val="14"/>
                <w:szCs w:val="14"/>
                <w:lang w:val="ru-RU"/>
              </w:rPr>
              <w:t xml:space="preserve"> </w:t>
            </w:r>
            <w:r w:rsidRPr="00A2019B">
              <w:rPr>
                <w:sz w:val="14"/>
                <w:szCs w:val="14"/>
                <w:lang w:val="ru-RU"/>
              </w:rPr>
              <w:t>Вопрос: Вы сказали об этом, да и широко известно, никто не скрывал, что Азербайджан</w:t>
            </w:r>
            <w:r w:rsidR="00AC5F51" w:rsidRPr="00A2019B">
              <w:rPr>
                <w:sz w:val="14"/>
                <w:szCs w:val="14"/>
                <w:lang w:val="ru-RU"/>
              </w:rPr>
              <w:t xml:space="preserve"> </w:t>
            </w:r>
            <w:r w:rsidRPr="00A2019B">
              <w:rPr>
                <w:sz w:val="14"/>
                <w:szCs w:val="14"/>
                <w:lang w:val="ru-RU"/>
              </w:rPr>
              <w:t>поддерживала Турция. Было достаточно много информации о переброске в зону конфликта</w:t>
            </w:r>
            <w:r w:rsidR="00AC5F51" w:rsidRPr="00A2019B">
              <w:rPr>
                <w:sz w:val="14"/>
                <w:szCs w:val="14"/>
                <w:lang w:val="ru-RU"/>
              </w:rPr>
              <w:t xml:space="preserve"> </w:t>
            </w:r>
            <w:r w:rsidRPr="00A2019B">
              <w:rPr>
                <w:sz w:val="14"/>
                <w:szCs w:val="14"/>
                <w:lang w:val="ru-RU"/>
              </w:rPr>
              <w:t>боевиков с Ближнего Востока. А Армению поддерживали, она чувствовала помощь? Как</w:t>
            </w:r>
            <w:r w:rsidR="00AC5F51" w:rsidRPr="00A2019B">
              <w:rPr>
                <w:sz w:val="14"/>
                <w:szCs w:val="14"/>
                <w:lang w:val="ru-RU"/>
              </w:rPr>
              <w:t xml:space="preserve"> </w:t>
            </w:r>
            <w:r w:rsidRPr="00A2019B">
              <w:rPr>
                <w:sz w:val="14"/>
                <w:szCs w:val="14"/>
                <w:lang w:val="ru-RU"/>
              </w:rPr>
              <w:t>известно, Армения – член ОДКБ.</w:t>
            </w:r>
            <w:r w:rsidR="00AC5F51" w:rsidRPr="00A2019B">
              <w:rPr>
                <w:sz w:val="14"/>
                <w:szCs w:val="14"/>
                <w:lang w:val="ru-RU"/>
              </w:rPr>
              <w:t xml:space="preserve"> </w:t>
            </w:r>
            <w:r w:rsidRPr="00A2019B">
              <w:rPr>
                <w:sz w:val="14"/>
                <w:szCs w:val="14"/>
                <w:lang w:val="ru-RU"/>
              </w:rPr>
              <w:t>В.Путин: Я хочу вернуть Вас к той части, о которой я говорил в начале. Армения же</w:t>
            </w:r>
            <w:r w:rsidR="00AC5F51" w:rsidRPr="00A2019B">
              <w:rPr>
                <w:sz w:val="14"/>
                <w:szCs w:val="14"/>
                <w:lang w:val="ru-RU"/>
              </w:rPr>
              <w:t xml:space="preserve"> </w:t>
            </w:r>
            <w:r w:rsidRPr="00A2019B">
              <w:rPr>
                <w:sz w:val="14"/>
                <w:szCs w:val="14"/>
                <w:lang w:val="ru-RU"/>
              </w:rPr>
              <w:t>не признала независимость и суверенитет Нагорного Карабаха. Это означало с точки зрения</w:t>
            </w:r>
            <w:r w:rsidR="00AC5F51" w:rsidRPr="00A2019B">
              <w:rPr>
                <w:sz w:val="14"/>
                <w:szCs w:val="14"/>
                <w:lang w:val="ru-RU"/>
              </w:rPr>
              <w:t xml:space="preserve"> </w:t>
            </w:r>
            <w:r w:rsidRPr="00A2019B">
              <w:rPr>
                <w:sz w:val="14"/>
                <w:szCs w:val="14"/>
                <w:lang w:val="ru-RU"/>
              </w:rPr>
              <w:t>международного права, и Нагорный Карабах, и все прилегающие к нему районы являлись,являются неотъемлемой частью территории Азербайджанской Республики.</w:t>
            </w:r>
            <w:r w:rsidR="00AC5F51" w:rsidRPr="00A2019B">
              <w:rPr>
                <w:sz w:val="14"/>
                <w:szCs w:val="14"/>
                <w:lang w:val="ru-RU"/>
              </w:rPr>
              <w:t xml:space="preserve"> </w:t>
            </w:r>
            <w:r w:rsidRPr="00A2019B">
              <w:rPr>
                <w:sz w:val="14"/>
                <w:szCs w:val="14"/>
                <w:lang w:val="ru-RU"/>
              </w:rPr>
              <w:t>Договор ОДКБ (о коллективной безопасности) предусматривает взаимную помощь в случае</w:t>
            </w:r>
            <w:r w:rsidR="00AC5F51" w:rsidRPr="00A2019B">
              <w:rPr>
                <w:sz w:val="14"/>
                <w:szCs w:val="14"/>
                <w:lang w:val="ru-RU"/>
              </w:rPr>
              <w:t xml:space="preserve"> </w:t>
            </w:r>
            <w:r w:rsidRPr="00A2019B">
              <w:rPr>
                <w:sz w:val="14"/>
                <w:szCs w:val="14"/>
                <w:lang w:val="ru-RU"/>
              </w:rPr>
              <w:t>агрессии в отношении территории страны – участницы этого договора. На территорию</w:t>
            </w:r>
            <w:r w:rsidR="00AC5F51" w:rsidRPr="00A2019B">
              <w:rPr>
                <w:sz w:val="14"/>
                <w:szCs w:val="14"/>
                <w:lang w:val="ru-RU"/>
              </w:rPr>
              <w:t xml:space="preserve"> </w:t>
            </w:r>
            <w:r w:rsidRPr="00A2019B">
              <w:rPr>
                <w:sz w:val="14"/>
                <w:szCs w:val="14"/>
                <w:lang w:val="ru-RU"/>
              </w:rPr>
              <w:t>Армянской Республики никто не покушался. И это не давало нам никакого права принять</w:t>
            </w:r>
            <w:r w:rsidR="00AC5F51" w:rsidRPr="00A2019B">
              <w:rPr>
                <w:sz w:val="14"/>
                <w:szCs w:val="14"/>
                <w:lang w:val="ru-RU"/>
              </w:rPr>
              <w:t xml:space="preserve"> </w:t>
            </w:r>
            <w:r w:rsidRPr="00A2019B">
              <w:rPr>
                <w:sz w:val="14"/>
                <w:szCs w:val="14"/>
                <w:lang w:val="ru-RU"/>
              </w:rPr>
              <w:t>прямое участие в этих боевых действиях.</w:t>
            </w:r>
            <w:r w:rsidR="00AC5F51" w:rsidRPr="00A2019B">
              <w:rPr>
                <w:sz w:val="14"/>
                <w:szCs w:val="14"/>
                <w:lang w:val="ru-RU"/>
              </w:rPr>
              <w:t xml:space="preserve"> </w:t>
            </w:r>
            <w:r w:rsidRPr="00A2019B">
              <w:rPr>
                <w:sz w:val="14"/>
                <w:szCs w:val="14"/>
                <w:lang w:val="ru-RU"/>
              </w:rPr>
              <w:t>Что касается того, не чувствовала ли себя Армения в одиночестве, – уверяю вас, что</w:t>
            </w:r>
            <w:r w:rsidR="00F03422" w:rsidRPr="00A2019B">
              <w:rPr>
                <w:sz w:val="14"/>
                <w:szCs w:val="14"/>
                <w:lang w:val="ru-RU"/>
              </w:rPr>
              <w:t xml:space="preserve"> </w:t>
            </w:r>
            <w:r w:rsidRPr="00A2019B">
              <w:rPr>
                <w:sz w:val="14"/>
                <w:szCs w:val="14"/>
                <w:lang w:val="ru-RU"/>
              </w:rPr>
              <w:t>Российская Федерация в рамках и многосторонних, и двусторонних обязательств, в том числе</w:t>
            </w:r>
            <w:r w:rsidR="00F03422" w:rsidRPr="00A2019B">
              <w:rPr>
                <w:sz w:val="14"/>
                <w:szCs w:val="14"/>
                <w:lang w:val="ru-RU"/>
              </w:rPr>
              <w:t xml:space="preserve"> </w:t>
            </w:r>
            <w:r w:rsidRPr="00A2019B">
              <w:rPr>
                <w:sz w:val="14"/>
                <w:szCs w:val="14"/>
                <w:lang w:val="ru-RU"/>
              </w:rPr>
              <w:t>в сфере военно-технического сотрудничества, полностью выполняла все свои обязательства,</w:t>
            </w:r>
            <w:r w:rsidR="00F03422" w:rsidRPr="00A2019B">
              <w:rPr>
                <w:sz w:val="14"/>
                <w:szCs w:val="14"/>
                <w:lang w:val="ru-RU"/>
              </w:rPr>
              <w:t xml:space="preserve"> </w:t>
            </w:r>
            <w:r w:rsidRPr="00A2019B">
              <w:rPr>
                <w:sz w:val="14"/>
                <w:szCs w:val="14"/>
                <w:lang w:val="ru-RU"/>
              </w:rPr>
              <w:t>за что руководство Армении, в том числе в лице Премьер-министра Пашиняна, неоднократно</w:t>
            </w:r>
            <w:r w:rsidR="00F03422" w:rsidRPr="00A2019B">
              <w:rPr>
                <w:sz w:val="14"/>
                <w:szCs w:val="14"/>
                <w:lang w:val="ru-RU"/>
              </w:rPr>
              <w:t xml:space="preserve"> </w:t>
            </w:r>
            <w:r w:rsidRPr="00A2019B">
              <w:rPr>
                <w:sz w:val="14"/>
                <w:szCs w:val="14"/>
                <w:lang w:val="ru-RU"/>
              </w:rPr>
              <w:t>выражало слова благодарности и подчёркивало, что Россия в полном соответствии со своими</w:t>
            </w:r>
            <w:r w:rsidR="00F03422" w:rsidRPr="00A2019B">
              <w:rPr>
                <w:sz w:val="14"/>
                <w:szCs w:val="14"/>
                <w:lang w:val="ru-RU"/>
              </w:rPr>
              <w:t xml:space="preserve"> </w:t>
            </w:r>
            <w:r w:rsidRPr="00A2019B">
              <w:rPr>
                <w:sz w:val="14"/>
                <w:szCs w:val="14"/>
                <w:lang w:val="ru-RU"/>
              </w:rPr>
              <w:t>обязательствами выполняет все обязательства (прошу прощения за тавтологию) в этой сфере.</w:t>
            </w:r>
            <w:r w:rsidR="00F03422" w:rsidRPr="00A2019B">
              <w:rPr>
                <w:sz w:val="14"/>
                <w:szCs w:val="14"/>
                <w:lang w:val="ru-RU"/>
              </w:rPr>
              <w:t xml:space="preserve"> </w:t>
            </w:r>
            <w:r w:rsidRPr="00A2019B">
              <w:rPr>
                <w:sz w:val="14"/>
                <w:szCs w:val="14"/>
                <w:lang w:val="ru-RU"/>
              </w:rPr>
              <w:t>Мы, кстати говоря, исходили и из того (Вы сейчас упомянули о роли Турции, о неформальных</w:t>
            </w:r>
            <w:r w:rsidR="00F03422" w:rsidRPr="00A2019B">
              <w:rPr>
                <w:sz w:val="14"/>
                <w:szCs w:val="14"/>
                <w:lang w:val="ru-RU"/>
              </w:rPr>
              <w:t xml:space="preserve"> </w:t>
            </w:r>
            <w:r w:rsidRPr="00A2019B">
              <w:rPr>
                <w:sz w:val="14"/>
                <w:szCs w:val="14"/>
                <w:lang w:val="ru-RU"/>
              </w:rPr>
              <w:t>вооружённых формированиях), мы исходили из того, что даже в ходе таких серьёзных событий</w:t>
            </w:r>
            <w:r w:rsidR="00F03422" w:rsidRPr="00A2019B">
              <w:rPr>
                <w:sz w:val="14"/>
                <w:szCs w:val="14"/>
                <w:lang w:val="ru-RU"/>
              </w:rPr>
              <w:t xml:space="preserve"> </w:t>
            </w:r>
            <w:r w:rsidRPr="00A2019B">
              <w:rPr>
                <w:sz w:val="14"/>
                <w:szCs w:val="14"/>
                <w:lang w:val="ru-RU"/>
              </w:rPr>
              <w:t>должен быть соблюдён баланс сил. И уверяю вас в том, что Армения не чувствовала себя</w:t>
            </w:r>
            <w:r w:rsidR="00F03422" w:rsidRPr="00A2019B">
              <w:rPr>
                <w:sz w:val="14"/>
                <w:szCs w:val="14"/>
                <w:lang w:val="ru-RU"/>
              </w:rPr>
              <w:t xml:space="preserve"> </w:t>
            </w:r>
            <w:r w:rsidRPr="00A2019B">
              <w:rPr>
                <w:sz w:val="14"/>
                <w:szCs w:val="14"/>
                <w:lang w:val="ru-RU"/>
              </w:rPr>
              <w:t>брошенной, забытой. И Россия сделала всё, чтобы этого не было. Но так сложилась ситуация</w:t>
            </w:r>
            <w:r w:rsidR="00F03422" w:rsidRPr="00A2019B">
              <w:rPr>
                <w:sz w:val="14"/>
                <w:szCs w:val="14"/>
                <w:lang w:val="ru-RU"/>
              </w:rPr>
              <w:t xml:space="preserve"> </w:t>
            </w:r>
            <w:r w:rsidRPr="00A2019B">
              <w:rPr>
                <w:sz w:val="14"/>
                <w:szCs w:val="14"/>
                <w:lang w:val="ru-RU"/>
              </w:rPr>
              <w:t>на поле боя, именно так, как она сложилась, о чём и сказал откровенно и честно Премьерминистр Пашинян в своём обращении к нации, во вчерашнем своём заявлении.</w:t>
            </w:r>
            <w:r w:rsidR="00F03422" w:rsidRPr="00A2019B">
              <w:rPr>
                <w:sz w:val="14"/>
                <w:szCs w:val="14"/>
                <w:lang w:val="ru-RU"/>
              </w:rPr>
              <w:t xml:space="preserve"> </w:t>
            </w:r>
            <w:r w:rsidRPr="00A2019B">
              <w:rPr>
                <w:sz w:val="14"/>
                <w:szCs w:val="14"/>
                <w:lang w:val="ru-RU"/>
              </w:rPr>
              <w:t>Вопрос: Возвращаясь к внутриполитической обстановке в Армении, очень остро там ситуация</w:t>
            </w:r>
            <w:r w:rsidR="00F03422" w:rsidRPr="00A2019B">
              <w:rPr>
                <w:sz w:val="14"/>
                <w:szCs w:val="14"/>
                <w:lang w:val="ru-RU"/>
              </w:rPr>
              <w:t xml:space="preserve"> </w:t>
            </w:r>
            <w:r w:rsidRPr="00A2019B">
              <w:rPr>
                <w:sz w:val="14"/>
                <w:szCs w:val="14"/>
                <w:lang w:val="ru-RU"/>
              </w:rPr>
              <w:t>складывается, Президент Армении уже требует назначить парламентские выборы и передать</w:t>
            </w:r>
            <w:r w:rsidR="00F03422" w:rsidRPr="00A2019B">
              <w:rPr>
                <w:sz w:val="14"/>
                <w:szCs w:val="14"/>
                <w:lang w:val="ru-RU"/>
              </w:rPr>
              <w:t xml:space="preserve"> </w:t>
            </w:r>
            <w:r w:rsidRPr="00A2019B">
              <w:rPr>
                <w:sz w:val="14"/>
                <w:szCs w:val="14"/>
                <w:lang w:val="ru-RU"/>
              </w:rPr>
              <w:t>власть правительству национального согласия. Ну, бурлит, действительно, ситуация. Нет ли</w:t>
            </w:r>
            <w:r w:rsidR="00F03422" w:rsidRPr="00A2019B">
              <w:rPr>
                <w:sz w:val="14"/>
                <w:szCs w:val="14"/>
                <w:lang w:val="ru-RU"/>
              </w:rPr>
              <w:t xml:space="preserve"> </w:t>
            </w:r>
            <w:r w:rsidRPr="00A2019B">
              <w:rPr>
                <w:sz w:val="14"/>
                <w:szCs w:val="14"/>
                <w:lang w:val="ru-RU"/>
              </w:rPr>
              <w:t>опасности в том, что в итоге к власти в Армении придут люди, которые попросту откажутся</w:t>
            </w:r>
            <w:r w:rsidR="00F03422" w:rsidRPr="00A2019B">
              <w:rPr>
                <w:sz w:val="14"/>
                <w:szCs w:val="14"/>
                <w:lang w:val="ru-RU"/>
              </w:rPr>
              <w:t xml:space="preserve"> </w:t>
            </w:r>
            <w:r w:rsidRPr="00A2019B">
              <w:rPr>
                <w:sz w:val="14"/>
                <w:szCs w:val="14"/>
                <w:lang w:val="ru-RU"/>
              </w:rPr>
              <w:t>выполнять всё то, что подписано.</w:t>
            </w:r>
            <w:r w:rsidR="00F03422" w:rsidRPr="00A2019B">
              <w:rPr>
                <w:sz w:val="14"/>
                <w:szCs w:val="14"/>
                <w:lang w:val="ru-RU"/>
              </w:rPr>
              <w:t xml:space="preserve"> </w:t>
            </w:r>
            <w:r w:rsidRPr="00A2019B">
              <w:rPr>
                <w:sz w:val="14"/>
                <w:szCs w:val="14"/>
                <w:lang w:val="ru-RU"/>
              </w:rPr>
              <w:t>В.Путин: Это было бы самоубийством.</w:t>
            </w:r>
            <w:r w:rsidR="00F03422" w:rsidRPr="00A2019B">
              <w:rPr>
                <w:sz w:val="14"/>
                <w:szCs w:val="14"/>
                <w:lang w:val="ru-RU"/>
              </w:rPr>
              <w:t xml:space="preserve"> </w:t>
            </w:r>
            <w:r w:rsidRPr="00A2019B">
              <w:rPr>
                <w:sz w:val="14"/>
                <w:szCs w:val="14"/>
                <w:lang w:val="ru-RU"/>
              </w:rPr>
              <w:t>Я ещё раз повторяю, Премьер Пашинян – ему, конечно, тяжело, но он сказал, обрисовал</w:t>
            </w:r>
            <w:r w:rsidR="00F03422" w:rsidRPr="00A2019B">
              <w:rPr>
                <w:sz w:val="14"/>
                <w:szCs w:val="14"/>
                <w:lang w:val="ru-RU"/>
              </w:rPr>
              <w:t xml:space="preserve"> </w:t>
            </w:r>
            <w:r w:rsidRPr="00A2019B">
              <w:rPr>
                <w:sz w:val="14"/>
                <w:szCs w:val="14"/>
                <w:lang w:val="ru-RU"/>
              </w:rPr>
              <w:t>истинную картину, истинное положение дел, так, как оно есть, так оно было на момент</w:t>
            </w:r>
            <w:r w:rsidR="00F03422" w:rsidRPr="00A2019B">
              <w:rPr>
                <w:sz w:val="14"/>
                <w:szCs w:val="14"/>
                <w:lang w:val="ru-RU"/>
              </w:rPr>
              <w:t xml:space="preserve"> </w:t>
            </w:r>
            <w:r w:rsidRPr="00A2019B">
              <w:rPr>
                <w:sz w:val="14"/>
                <w:szCs w:val="14"/>
                <w:lang w:val="ru-RU"/>
              </w:rPr>
              <w:t>подписания нашего трёхстороннего заявления, и так, как оно есть сегодня. Мне добавить</w:t>
            </w:r>
            <w:r w:rsidR="00F03422" w:rsidRPr="00A2019B">
              <w:rPr>
                <w:sz w:val="14"/>
                <w:szCs w:val="14"/>
                <w:lang w:val="ru-RU"/>
              </w:rPr>
              <w:t xml:space="preserve"> </w:t>
            </w:r>
            <w:r w:rsidRPr="00A2019B">
              <w:rPr>
                <w:sz w:val="14"/>
                <w:szCs w:val="14"/>
                <w:lang w:val="ru-RU"/>
              </w:rPr>
              <w:t>нечего. Он сказал всю правду, правдиво, честно абсолютно, здесь, я повторяю, нечего</w:t>
            </w:r>
            <w:r w:rsidR="00C52B2A" w:rsidRPr="00A2019B">
              <w:rPr>
                <w:sz w:val="14"/>
                <w:szCs w:val="14"/>
                <w:lang w:val="ru-RU"/>
              </w:rPr>
              <w:t xml:space="preserve"> </w:t>
            </w:r>
            <w:r w:rsidRPr="00A2019B">
              <w:rPr>
                <w:sz w:val="14"/>
                <w:szCs w:val="14"/>
                <w:lang w:val="ru-RU"/>
              </w:rPr>
              <w:t>добавить. Поэтому это, конечно, дело каждой стороны, соблюдать или не соблюдать</w:t>
            </w:r>
            <w:r w:rsidR="00C52B2A" w:rsidRPr="00A2019B">
              <w:rPr>
                <w:sz w:val="14"/>
                <w:szCs w:val="14"/>
                <w:lang w:val="ru-RU"/>
              </w:rPr>
              <w:t xml:space="preserve"> </w:t>
            </w:r>
            <w:r w:rsidRPr="00A2019B">
              <w:rPr>
                <w:sz w:val="14"/>
                <w:szCs w:val="14"/>
                <w:lang w:val="ru-RU"/>
              </w:rPr>
              <w:t>достигнутые договорённости, но, повторяю ещё раз, это было бы огромной ошибкой. Надеюсь,</w:t>
            </w:r>
            <w:r w:rsidR="00C52B2A" w:rsidRPr="00A2019B">
              <w:rPr>
                <w:sz w:val="14"/>
                <w:szCs w:val="14"/>
                <w:lang w:val="ru-RU"/>
              </w:rPr>
              <w:t xml:space="preserve"> </w:t>
            </w:r>
            <w:r w:rsidRPr="00A2019B">
              <w:rPr>
                <w:sz w:val="14"/>
                <w:szCs w:val="14"/>
                <w:lang w:val="ru-RU"/>
              </w:rPr>
              <w:t>что этого не случится. Это первое.</w:t>
            </w:r>
            <w:r w:rsidR="00C52B2A" w:rsidRPr="00A2019B">
              <w:rPr>
                <w:sz w:val="14"/>
                <w:szCs w:val="14"/>
                <w:lang w:val="ru-RU"/>
              </w:rPr>
              <w:t xml:space="preserve"> </w:t>
            </w:r>
            <w:r w:rsidRPr="00A2019B">
              <w:rPr>
                <w:sz w:val="14"/>
                <w:szCs w:val="14"/>
                <w:lang w:val="ru-RU"/>
              </w:rPr>
              <w:t>Второе. Что касается внутриполитической ситуации, это не наше дело, это дело Армении.</w:t>
            </w:r>
            <w:r w:rsidR="00C52B2A" w:rsidRPr="00A2019B">
              <w:rPr>
                <w:sz w:val="14"/>
                <w:szCs w:val="14"/>
                <w:lang w:val="ru-RU"/>
              </w:rPr>
              <w:t xml:space="preserve"> </w:t>
            </w:r>
            <w:r w:rsidRPr="00A2019B">
              <w:rPr>
                <w:sz w:val="14"/>
                <w:szCs w:val="14"/>
                <w:lang w:val="ru-RU"/>
              </w:rPr>
              <w:t>Армения – независимое, суверенное государство. Это государство вправе решать свои</w:t>
            </w:r>
            <w:r w:rsidR="00C52B2A" w:rsidRPr="00A2019B">
              <w:rPr>
                <w:sz w:val="14"/>
                <w:szCs w:val="14"/>
                <w:lang w:val="ru-RU"/>
              </w:rPr>
              <w:t xml:space="preserve"> </w:t>
            </w:r>
            <w:r w:rsidRPr="00A2019B">
              <w:rPr>
                <w:sz w:val="14"/>
                <w:szCs w:val="14"/>
                <w:lang w:val="ru-RU"/>
              </w:rPr>
              <w:t>внутренние дела так, как считает нужным. Но если Вы хотите моей оценки, то воюющая или</w:t>
            </w:r>
            <w:r w:rsidR="00C52B2A" w:rsidRPr="00A2019B">
              <w:rPr>
                <w:sz w:val="14"/>
                <w:szCs w:val="14"/>
                <w:lang w:val="ru-RU"/>
              </w:rPr>
              <w:t xml:space="preserve"> </w:t>
            </w:r>
            <w:r w:rsidRPr="00A2019B">
              <w:rPr>
                <w:sz w:val="14"/>
                <w:szCs w:val="14"/>
                <w:lang w:val="ru-RU"/>
              </w:rPr>
              <w:t>находящаяся в опасности возобновления боевых действий, как это всегда было на протяжении</w:t>
            </w:r>
            <w:r w:rsidR="00C52B2A" w:rsidRPr="00A2019B">
              <w:rPr>
                <w:sz w:val="14"/>
                <w:szCs w:val="14"/>
                <w:lang w:val="ru-RU"/>
              </w:rPr>
              <w:t xml:space="preserve"> </w:t>
            </w:r>
            <w:r w:rsidRPr="00A2019B">
              <w:rPr>
                <w:sz w:val="14"/>
                <w:szCs w:val="14"/>
                <w:lang w:val="ru-RU"/>
              </w:rPr>
              <w:t>предыдущих лет, страна всё-таки не может позволить себе вести себя таким образом, в том</w:t>
            </w:r>
            <w:r w:rsidR="00C52B2A" w:rsidRPr="00A2019B">
              <w:rPr>
                <w:sz w:val="14"/>
                <w:szCs w:val="14"/>
                <w:lang w:val="ru-RU"/>
              </w:rPr>
              <w:t xml:space="preserve"> </w:t>
            </w:r>
            <w:r w:rsidRPr="00A2019B">
              <w:rPr>
                <w:sz w:val="14"/>
                <w:szCs w:val="14"/>
                <w:lang w:val="ru-RU"/>
              </w:rPr>
              <w:t>числе в сфере организации власти, чтобы раскалывать общество изнутри. Мне кажется, это</w:t>
            </w:r>
            <w:r w:rsidR="00C52B2A" w:rsidRPr="00A2019B">
              <w:rPr>
                <w:sz w:val="14"/>
                <w:szCs w:val="14"/>
                <w:lang w:val="ru-RU"/>
              </w:rPr>
              <w:t xml:space="preserve"> </w:t>
            </w:r>
            <w:r w:rsidRPr="00A2019B">
              <w:rPr>
                <w:sz w:val="14"/>
                <w:szCs w:val="14"/>
                <w:lang w:val="ru-RU"/>
              </w:rPr>
              <w:t>абсолютно недопустимо, контрпродуктивно и в высшей степени опасно. На мой взгляд, мы</w:t>
            </w:r>
            <w:r w:rsidR="00C52B2A" w:rsidRPr="00A2019B">
              <w:rPr>
                <w:sz w:val="14"/>
                <w:szCs w:val="14"/>
                <w:lang w:val="ru-RU"/>
              </w:rPr>
              <w:t xml:space="preserve"> </w:t>
            </w:r>
            <w:r w:rsidRPr="00A2019B">
              <w:rPr>
                <w:sz w:val="14"/>
                <w:szCs w:val="14"/>
                <w:lang w:val="ru-RU"/>
              </w:rPr>
              <w:t>являемся как раз свидетелями, отчасти хотя бы, но свидетелями того, что происходило</w:t>
            </w:r>
            <w:r w:rsidR="000E65D9" w:rsidRPr="00A2019B">
              <w:rPr>
                <w:sz w:val="14"/>
                <w:szCs w:val="14"/>
                <w:lang w:val="ru-RU"/>
              </w:rPr>
              <w:t xml:space="preserve"> </w:t>
            </w:r>
            <w:r w:rsidRPr="00A2019B">
              <w:rPr>
                <w:sz w:val="14"/>
                <w:szCs w:val="14"/>
                <w:lang w:val="ru-RU"/>
              </w:rPr>
              <w:t>в последнее время.</w:t>
            </w:r>
            <w:r w:rsidR="000E65D9" w:rsidRPr="00A2019B">
              <w:rPr>
                <w:sz w:val="14"/>
                <w:szCs w:val="14"/>
                <w:lang w:val="ru-RU"/>
              </w:rPr>
              <w:t xml:space="preserve"> </w:t>
            </w:r>
            <w:r w:rsidRPr="00A2019B">
              <w:rPr>
                <w:sz w:val="14"/>
                <w:szCs w:val="14"/>
                <w:lang w:val="ru-RU"/>
              </w:rPr>
              <w:t>Вопрос: После соглашения стремительно в зону конфликта были переброшены российские</w:t>
            </w:r>
            <w:r w:rsidR="000E65D9" w:rsidRPr="00A2019B">
              <w:rPr>
                <w:sz w:val="14"/>
                <w:szCs w:val="14"/>
                <w:lang w:val="ru-RU"/>
              </w:rPr>
              <w:t xml:space="preserve"> </w:t>
            </w:r>
            <w:r w:rsidRPr="00A2019B">
              <w:rPr>
                <w:sz w:val="14"/>
                <w:szCs w:val="14"/>
                <w:lang w:val="ru-RU"/>
              </w:rPr>
              <w:t>миротворцы. Того числа, которое там есть, его достаточно для выполнения поставленных</w:t>
            </w:r>
            <w:r w:rsidR="000E65D9" w:rsidRPr="00A2019B">
              <w:rPr>
                <w:sz w:val="14"/>
                <w:szCs w:val="14"/>
                <w:lang w:val="ru-RU"/>
              </w:rPr>
              <w:t xml:space="preserve"> </w:t>
            </w:r>
            <w:r w:rsidRPr="00A2019B">
              <w:rPr>
                <w:sz w:val="14"/>
                <w:szCs w:val="14"/>
                <w:lang w:val="ru-RU"/>
              </w:rPr>
              <w:t>задач? И важный вопрос: получат ли наши военнослужащие так называемые боевые за такую</w:t>
            </w:r>
            <w:r w:rsidR="000E65D9" w:rsidRPr="00A2019B">
              <w:rPr>
                <w:sz w:val="14"/>
                <w:szCs w:val="14"/>
                <w:lang w:val="ru-RU"/>
              </w:rPr>
              <w:t xml:space="preserve"> </w:t>
            </w:r>
            <w:r w:rsidRPr="00A2019B">
              <w:rPr>
                <w:sz w:val="14"/>
                <w:szCs w:val="14"/>
                <w:lang w:val="ru-RU"/>
              </w:rPr>
              <w:t>службу?</w:t>
            </w:r>
            <w:r w:rsidR="000E65D9" w:rsidRPr="00A2019B">
              <w:rPr>
                <w:sz w:val="14"/>
                <w:szCs w:val="14"/>
                <w:lang w:val="ru-RU"/>
              </w:rPr>
              <w:t xml:space="preserve"> </w:t>
            </w:r>
            <w:r w:rsidRPr="00A2019B">
              <w:rPr>
                <w:sz w:val="14"/>
                <w:szCs w:val="14"/>
                <w:lang w:val="ru-RU"/>
              </w:rPr>
              <w:t>В.Путин: У нас есть нормативная база. Отрегулировано это в соответствующих указах</w:t>
            </w:r>
            <w:r w:rsidR="000E65D9" w:rsidRPr="00A2019B">
              <w:rPr>
                <w:sz w:val="14"/>
                <w:szCs w:val="14"/>
                <w:lang w:val="ru-RU"/>
              </w:rPr>
              <w:t xml:space="preserve"> </w:t>
            </w:r>
            <w:r w:rsidRPr="00A2019B">
              <w:rPr>
                <w:sz w:val="14"/>
                <w:szCs w:val="14"/>
                <w:lang w:val="ru-RU"/>
              </w:rPr>
              <w:t>Президента, которые были приняты раньше. Военнослужащие, которые выполняют</w:t>
            </w:r>
            <w:r w:rsidR="000E65D9" w:rsidRPr="00A2019B">
              <w:rPr>
                <w:sz w:val="14"/>
                <w:szCs w:val="14"/>
                <w:lang w:val="ru-RU"/>
              </w:rPr>
              <w:t xml:space="preserve"> </w:t>
            </w:r>
            <w:r w:rsidRPr="00A2019B">
              <w:rPr>
                <w:sz w:val="14"/>
                <w:szCs w:val="14"/>
                <w:lang w:val="ru-RU"/>
              </w:rPr>
              <w:t>миротворческие функции, выполняют эту миссию, получают дополнительные выплаты,</w:t>
            </w:r>
            <w:r w:rsidR="000E65D9" w:rsidRPr="00A2019B">
              <w:rPr>
                <w:sz w:val="14"/>
                <w:szCs w:val="14"/>
                <w:lang w:val="ru-RU"/>
              </w:rPr>
              <w:t xml:space="preserve"> </w:t>
            </w:r>
            <w:r w:rsidRPr="00A2019B">
              <w:rPr>
                <w:sz w:val="14"/>
                <w:szCs w:val="14"/>
                <w:lang w:val="ru-RU"/>
              </w:rPr>
              <w:t>но не боевые, а именно за выполнение своих миротворческих функций за рубежом.</w:t>
            </w:r>
            <w:r w:rsidR="000E65D9" w:rsidRPr="00A2019B">
              <w:rPr>
                <w:sz w:val="14"/>
                <w:szCs w:val="14"/>
                <w:lang w:val="ru-RU"/>
              </w:rPr>
              <w:t xml:space="preserve"> </w:t>
            </w:r>
            <w:r w:rsidRPr="00A2019B">
              <w:rPr>
                <w:sz w:val="14"/>
                <w:szCs w:val="14"/>
                <w:lang w:val="ru-RU"/>
              </w:rPr>
              <w:t>Что касается того, хватает или не хватает, то этот вопрос должен решаться из реальных</w:t>
            </w:r>
            <w:r w:rsidR="000E65D9" w:rsidRPr="00A2019B">
              <w:rPr>
                <w:sz w:val="14"/>
                <w:szCs w:val="14"/>
                <w:lang w:val="ru-RU"/>
              </w:rPr>
              <w:t xml:space="preserve"> </w:t>
            </w:r>
            <w:r w:rsidRPr="00A2019B">
              <w:rPr>
                <w:sz w:val="14"/>
                <w:szCs w:val="14"/>
                <w:lang w:val="ru-RU"/>
              </w:rPr>
              <w:t>требований жизни, которые возникают, конечно, каждый день. В принципе мы исходим из того,</w:t>
            </w:r>
            <w:r w:rsidR="000E65D9" w:rsidRPr="00A2019B">
              <w:rPr>
                <w:sz w:val="14"/>
                <w:szCs w:val="14"/>
                <w:lang w:val="ru-RU"/>
              </w:rPr>
              <w:t xml:space="preserve"> </w:t>
            </w:r>
            <w:r w:rsidRPr="00A2019B">
              <w:rPr>
                <w:sz w:val="14"/>
                <w:szCs w:val="14"/>
                <w:lang w:val="ru-RU"/>
              </w:rPr>
              <w:t>что этого достаточно. Но если что-то можно и нужно будет менять, то это можно будет делать</w:t>
            </w:r>
            <w:r w:rsidR="000E65D9" w:rsidRPr="00A2019B">
              <w:rPr>
                <w:sz w:val="14"/>
                <w:szCs w:val="14"/>
                <w:lang w:val="ru-RU"/>
              </w:rPr>
              <w:t xml:space="preserve"> </w:t>
            </w:r>
            <w:r w:rsidRPr="00A2019B">
              <w:rPr>
                <w:sz w:val="14"/>
                <w:szCs w:val="14"/>
                <w:lang w:val="ru-RU"/>
              </w:rPr>
              <w:t>только по согласованию сторон.</w:t>
            </w:r>
            <w:r w:rsidR="000E65D9" w:rsidRPr="00A2019B">
              <w:rPr>
                <w:sz w:val="14"/>
                <w:szCs w:val="14"/>
                <w:lang w:val="ru-RU"/>
              </w:rPr>
              <w:t xml:space="preserve"> </w:t>
            </w:r>
            <w:r w:rsidRPr="00A2019B">
              <w:rPr>
                <w:sz w:val="14"/>
                <w:szCs w:val="14"/>
                <w:lang w:val="ru-RU"/>
              </w:rPr>
              <w:t>Вопрос: Вы уже несколько раз сказали, что в ходе всего этого конфликта многократно</w:t>
            </w:r>
            <w:r w:rsidR="000E65D9" w:rsidRPr="00A2019B">
              <w:rPr>
                <w:sz w:val="14"/>
                <w:szCs w:val="14"/>
                <w:lang w:val="ru-RU"/>
              </w:rPr>
              <w:t xml:space="preserve"> </w:t>
            </w:r>
            <w:r w:rsidRPr="00A2019B">
              <w:rPr>
                <w:sz w:val="14"/>
                <w:szCs w:val="14"/>
                <w:lang w:val="ru-RU"/>
              </w:rPr>
              <w:t>разговаривали как с Премьером Армении, так и с Президентом Азербайджана, и раньше Вы</w:t>
            </w:r>
            <w:r w:rsidR="000E65D9" w:rsidRPr="00A2019B">
              <w:rPr>
                <w:sz w:val="14"/>
                <w:szCs w:val="14"/>
                <w:lang w:val="ru-RU"/>
              </w:rPr>
              <w:t xml:space="preserve"> </w:t>
            </w:r>
            <w:r w:rsidRPr="00A2019B">
              <w:rPr>
                <w:sz w:val="14"/>
                <w:szCs w:val="14"/>
                <w:lang w:val="ru-RU"/>
              </w:rPr>
              <w:t>об этом тоже говорили. Если вернуться в ту ночь, в какой момент всё-таки, когда и как документ</w:t>
            </w:r>
            <w:r w:rsidR="000E65D9" w:rsidRPr="00A2019B">
              <w:rPr>
                <w:sz w:val="14"/>
                <w:szCs w:val="14"/>
                <w:lang w:val="ru-RU"/>
              </w:rPr>
              <w:t xml:space="preserve"> </w:t>
            </w:r>
            <w:r w:rsidRPr="00A2019B">
              <w:rPr>
                <w:sz w:val="14"/>
                <w:szCs w:val="14"/>
                <w:lang w:val="ru-RU"/>
              </w:rPr>
              <w:t>стал таким, каким мы все его увидели?</w:t>
            </w:r>
            <w:r w:rsidR="000E65D9" w:rsidRPr="00A2019B">
              <w:rPr>
                <w:sz w:val="14"/>
                <w:szCs w:val="14"/>
                <w:lang w:val="ru-RU"/>
              </w:rPr>
              <w:t xml:space="preserve"> </w:t>
            </w:r>
            <w:r w:rsidRPr="00A2019B">
              <w:rPr>
                <w:sz w:val="14"/>
                <w:szCs w:val="14"/>
                <w:lang w:val="ru-RU"/>
              </w:rPr>
              <w:t>В.Путин: Вы знаете, это был сложный, я бы сказал, энергозатратный процесс, я думаю, что</w:t>
            </w:r>
            <w:r w:rsidR="000E65D9" w:rsidRPr="00A2019B">
              <w:rPr>
                <w:sz w:val="14"/>
                <w:szCs w:val="14"/>
                <w:lang w:val="ru-RU"/>
              </w:rPr>
              <w:t xml:space="preserve"> </w:t>
            </w:r>
            <w:r w:rsidRPr="00A2019B">
              <w:rPr>
                <w:sz w:val="14"/>
                <w:szCs w:val="14"/>
                <w:lang w:val="ru-RU"/>
              </w:rPr>
              <w:t>со всех сторон. И происходило это в результате трёхсторонних консультаций. По сути, мне</w:t>
            </w:r>
            <w:r w:rsidR="000E65D9" w:rsidRPr="00A2019B">
              <w:rPr>
                <w:sz w:val="14"/>
                <w:szCs w:val="14"/>
                <w:lang w:val="ru-RU"/>
              </w:rPr>
              <w:t xml:space="preserve"> </w:t>
            </w:r>
            <w:r w:rsidRPr="00A2019B">
              <w:rPr>
                <w:sz w:val="14"/>
                <w:szCs w:val="14"/>
                <w:lang w:val="ru-RU"/>
              </w:rPr>
              <w:t>пришлось взять на себя роль посредника, когда я разговаривал с одним и со вторым лидером,</w:t>
            </w:r>
            <w:r w:rsidR="000E65D9" w:rsidRPr="00A2019B">
              <w:rPr>
                <w:sz w:val="14"/>
                <w:szCs w:val="14"/>
                <w:lang w:val="ru-RU"/>
              </w:rPr>
              <w:t xml:space="preserve"> </w:t>
            </w:r>
            <w:r w:rsidRPr="00A2019B">
              <w:rPr>
                <w:sz w:val="14"/>
                <w:szCs w:val="14"/>
                <w:lang w:val="ru-RU"/>
              </w:rPr>
              <w:t>выслушивал их требования, претензии к тексту, вносил какие-то изменения, связывался</w:t>
            </w:r>
            <w:r w:rsidR="000E65D9" w:rsidRPr="00A2019B">
              <w:rPr>
                <w:sz w:val="14"/>
                <w:szCs w:val="14"/>
                <w:lang w:val="ru-RU"/>
              </w:rPr>
              <w:t xml:space="preserve"> </w:t>
            </w:r>
            <w:r w:rsidRPr="00A2019B">
              <w:rPr>
                <w:sz w:val="14"/>
                <w:szCs w:val="14"/>
                <w:lang w:val="ru-RU"/>
              </w:rPr>
              <w:t>с другой стороной, выслушивал их пожелания и требования, потом консультировался с первой</w:t>
            </w:r>
            <w:r w:rsidR="000E65D9" w:rsidRPr="00A2019B">
              <w:rPr>
                <w:sz w:val="14"/>
                <w:szCs w:val="14"/>
                <w:lang w:val="ru-RU"/>
              </w:rPr>
              <w:t xml:space="preserve"> </w:t>
            </w:r>
            <w:r w:rsidRPr="00A2019B">
              <w:rPr>
                <w:sz w:val="14"/>
                <w:szCs w:val="14"/>
                <w:lang w:val="ru-RU"/>
              </w:rPr>
              <w:t>по поводу приемлемости этих положений для других партнёров. Но фактически это была</w:t>
            </w:r>
            <w:r w:rsidR="000E65D9" w:rsidRPr="00A2019B">
              <w:rPr>
                <w:sz w:val="14"/>
                <w:szCs w:val="14"/>
                <w:lang w:val="ru-RU"/>
              </w:rPr>
              <w:t xml:space="preserve"> </w:t>
            </w:r>
            <w:r w:rsidRPr="00A2019B">
              <w:rPr>
                <w:sz w:val="14"/>
                <w:szCs w:val="14"/>
                <w:lang w:val="ru-RU"/>
              </w:rPr>
              <w:t>равноправная, равноценная, трёхсторонняя работа.</w:t>
            </w:r>
            <w:r w:rsidR="000E65D9" w:rsidRPr="00A2019B">
              <w:rPr>
                <w:sz w:val="14"/>
                <w:szCs w:val="14"/>
                <w:lang w:val="ru-RU"/>
              </w:rPr>
              <w:t xml:space="preserve"> </w:t>
            </w:r>
            <w:r w:rsidRPr="00A2019B">
              <w:rPr>
                <w:sz w:val="14"/>
                <w:szCs w:val="14"/>
                <w:lang w:val="ru-RU"/>
              </w:rPr>
              <w:t>Вопрос: Это всё произошло именно в этот день или ранее уже были какие-то намётки?</w:t>
            </w:r>
            <w:r w:rsidR="000E65D9" w:rsidRPr="00A2019B">
              <w:rPr>
                <w:sz w:val="14"/>
                <w:szCs w:val="14"/>
                <w:lang w:val="ru-RU"/>
              </w:rPr>
              <w:t xml:space="preserve"> </w:t>
            </w:r>
            <w:r w:rsidRPr="00A2019B">
              <w:rPr>
                <w:sz w:val="14"/>
                <w:szCs w:val="14"/>
                <w:lang w:val="ru-RU"/>
              </w:rPr>
              <w:t>В.Путин: Именно в этот день.</w:t>
            </w:r>
            <w:r w:rsidR="000E65D9" w:rsidRPr="00A2019B">
              <w:rPr>
                <w:sz w:val="14"/>
                <w:szCs w:val="14"/>
                <w:lang w:val="ru-RU"/>
              </w:rPr>
              <w:t xml:space="preserve"> </w:t>
            </w:r>
            <w:r w:rsidRPr="00A2019B">
              <w:rPr>
                <w:sz w:val="14"/>
                <w:szCs w:val="14"/>
                <w:lang w:val="ru-RU"/>
              </w:rPr>
              <w:t>Да, я возвращаюсь к тому, что было сказано Премьером Пашиняном. Просто сложилась такая</w:t>
            </w:r>
            <w:r w:rsidR="000E65D9" w:rsidRPr="00A2019B">
              <w:rPr>
                <w:sz w:val="14"/>
                <w:szCs w:val="14"/>
                <w:lang w:val="ru-RU"/>
              </w:rPr>
              <w:t xml:space="preserve"> </w:t>
            </w:r>
            <w:r w:rsidRPr="00A2019B">
              <w:rPr>
                <w:sz w:val="14"/>
                <w:szCs w:val="14"/>
                <w:lang w:val="ru-RU"/>
              </w:rPr>
              <w:t>ситуация в зоне боевых действий, когда, прямо скажем, Армения подошла к такой черте, когда</w:t>
            </w:r>
            <w:r w:rsidR="000E65D9" w:rsidRPr="00A2019B">
              <w:rPr>
                <w:sz w:val="14"/>
                <w:szCs w:val="14"/>
                <w:lang w:val="ru-RU"/>
              </w:rPr>
              <w:t xml:space="preserve"> </w:t>
            </w:r>
            <w:r w:rsidRPr="00A2019B">
              <w:rPr>
                <w:sz w:val="14"/>
                <w:szCs w:val="14"/>
                <w:lang w:val="ru-RU"/>
              </w:rPr>
              <w:t>нужно было принимать решение. Но надо отдать должное, и в этих условиях, конечно, всё-таки</w:t>
            </w:r>
            <w:r w:rsidR="000E65D9" w:rsidRPr="00A2019B">
              <w:rPr>
                <w:sz w:val="14"/>
                <w:szCs w:val="14"/>
                <w:lang w:val="ru-RU"/>
              </w:rPr>
              <w:t xml:space="preserve"> </w:t>
            </w:r>
            <w:r w:rsidRPr="00A2019B">
              <w:rPr>
                <w:sz w:val="14"/>
                <w:szCs w:val="14"/>
                <w:lang w:val="ru-RU"/>
              </w:rPr>
              <w:t>борьба шла с обеих сторон за каждую фразу, за каждый пункт, можно сказать, за каждую</w:t>
            </w:r>
            <w:r w:rsidR="000E65D9" w:rsidRPr="00A2019B">
              <w:rPr>
                <w:sz w:val="14"/>
                <w:szCs w:val="14"/>
                <w:lang w:val="ru-RU"/>
              </w:rPr>
              <w:t xml:space="preserve"> </w:t>
            </w:r>
            <w:r w:rsidRPr="00A2019B">
              <w:rPr>
                <w:sz w:val="14"/>
                <w:szCs w:val="14"/>
                <w:lang w:val="ru-RU"/>
              </w:rPr>
              <w:t>запятую.</w:t>
            </w:r>
            <w:r w:rsidR="000E65D9" w:rsidRPr="00A2019B">
              <w:rPr>
                <w:sz w:val="14"/>
                <w:szCs w:val="14"/>
                <w:lang w:val="ru-RU"/>
              </w:rPr>
              <w:t xml:space="preserve"> </w:t>
            </w:r>
            <w:r w:rsidRPr="00A2019B">
              <w:rPr>
                <w:sz w:val="14"/>
                <w:szCs w:val="14"/>
                <w:lang w:val="ru-RU"/>
              </w:rPr>
              <w:t>Вопрос: В ту ночь мы все были свидетелями, у Вас состоялся телемост с Алиевым. Пашиняна</w:t>
            </w:r>
            <w:r w:rsidR="000E65D9" w:rsidRPr="00A2019B">
              <w:rPr>
                <w:sz w:val="14"/>
                <w:szCs w:val="14"/>
                <w:lang w:val="ru-RU"/>
              </w:rPr>
              <w:t xml:space="preserve"> </w:t>
            </w:r>
            <w:r w:rsidRPr="00A2019B">
              <w:rPr>
                <w:sz w:val="14"/>
                <w:szCs w:val="14"/>
                <w:lang w:val="ru-RU"/>
              </w:rPr>
              <w:t>не было в этом телемосте. Почему?</w:t>
            </w:r>
            <w:r w:rsidR="000E65D9" w:rsidRPr="00A2019B">
              <w:rPr>
                <w:sz w:val="14"/>
                <w:szCs w:val="14"/>
                <w:lang w:val="ru-RU"/>
              </w:rPr>
              <w:t xml:space="preserve"> </w:t>
            </w:r>
            <w:r w:rsidRPr="00A2019B">
              <w:rPr>
                <w:sz w:val="14"/>
                <w:szCs w:val="14"/>
                <w:lang w:val="ru-RU"/>
              </w:rPr>
              <w:t>В.Путин: Это его надо спросить. Он просто не посчитал возможным, нужным. Важна же была</w:t>
            </w:r>
            <w:r w:rsidR="000E65D9" w:rsidRPr="00A2019B">
              <w:rPr>
                <w:sz w:val="14"/>
                <w:szCs w:val="14"/>
                <w:lang w:val="ru-RU"/>
              </w:rPr>
              <w:t xml:space="preserve"> </w:t>
            </w:r>
            <w:r w:rsidRPr="00A2019B">
              <w:rPr>
                <w:sz w:val="14"/>
                <w:szCs w:val="14"/>
                <w:lang w:val="ru-RU"/>
              </w:rPr>
              <w:t>не картинка, а суть наших договорённостей.</w:t>
            </w:r>
            <w:r w:rsidR="000E65D9" w:rsidRPr="00A2019B">
              <w:rPr>
                <w:sz w:val="14"/>
                <w:szCs w:val="14"/>
                <w:lang w:val="ru-RU"/>
              </w:rPr>
              <w:t xml:space="preserve"> </w:t>
            </w:r>
            <w:r w:rsidRPr="00A2019B">
              <w:rPr>
                <w:sz w:val="14"/>
                <w:szCs w:val="14"/>
                <w:lang w:val="ru-RU"/>
              </w:rPr>
              <w:t>Вопрос: Из Армении и от российских армян даже сейчас можно часто слышать упрёк, что</w:t>
            </w:r>
            <w:r w:rsidR="000E65D9" w:rsidRPr="00A2019B">
              <w:rPr>
                <w:sz w:val="14"/>
                <w:szCs w:val="14"/>
                <w:lang w:val="ru-RU"/>
              </w:rPr>
              <w:t xml:space="preserve"> </w:t>
            </w:r>
            <w:r w:rsidRPr="00A2019B">
              <w:rPr>
                <w:sz w:val="14"/>
                <w:szCs w:val="14"/>
                <w:lang w:val="ru-RU"/>
              </w:rPr>
              <w:t>довольно своеобразная, мягко скажем, позиция руководства Армении в отношении в том числе</w:t>
            </w:r>
            <w:r w:rsidR="000E65D9" w:rsidRPr="00A2019B">
              <w:rPr>
                <w:sz w:val="14"/>
                <w:szCs w:val="14"/>
                <w:lang w:val="ru-RU"/>
              </w:rPr>
              <w:t xml:space="preserve"> </w:t>
            </w:r>
            <w:r w:rsidRPr="00A2019B">
              <w:rPr>
                <w:sz w:val="14"/>
                <w:szCs w:val="14"/>
                <w:lang w:val="ru-RU"/>
              </w:rPr>
              <w:t>и России, в общем-то, и привела к тому, чем всё завершилось. Как Вы такие оценки</w:t>
            </w:r>
            <w:r w:rsidR="000E65D9" w:rsidRPr="00A2019B">
              <w:rPr>
                <w:sz w:val="14"/>
                <w:szCs w:val="14"/>
                <w:lang w:val="ru-RU"/>
              </w:rPr>
              <w:t xml:space="preserve"> </w:t>
            </w:r>
            <w:r w:rsidRPr="00A2019B">
              <w:rPr>
                <w:sz w:val="14"/>
                <w:szCs w:val="14"/>
                <w:lang w:val="ru-RU"/>
              </w:rPr>
              <w:t>оцениваете?</w:t>
            </w:r>
            <w:r w:rsidR="003B6CA1" w:rsidRPr="00A2019B">
              <w:rPr>
                <w:sz w:val="14"/>
                <w:szCs w:val="14"/>
                <w:lang w:val="ru-RU"/>
              </w:rPr>
              <w:t xml:space="preserve"> </w:t>
            </w:r>
            <w:r w:rsidRPr="00A2019B">
              <w:rPr>
                <w:sz w:val="14"/>
                <w:szCs w:val="14"/>
                <w:lang w:val="ru-RU"/>
              </w:rPr>
              <w:t>В.Путин: Я не понимаю, что имеется в виду. Никаких особенностей в наших взаимоотношениях</w:t>
            </w:r>
            <w:r w:rsidR="003B6CA1" w:rsidRPr="00A2019B">
              <w:rPr>
                <w:sz w:val="14"/>
                <w:szCs w:val="14"/>
                <w:lang w:val="ru-RU"/>
              </w:rPr>
              <w:t xml:space="preserve"> </w:t>
            </w:r>
            <w:r w:rsidRPr="00A2019B">
              <w:rPr>
                <w:sz w:val="14"/>
                <w:szCs w:val="14"/>
                <w:lang w:val="ru-RU"/>
              </w:rPr>
              <w:t>с Арменией за последнее время, в том числе за время, когда у власти находился Премьер</w:t>
            </w:r>
            <w:r w:rsidR="003B6CA1" w:rsidRPr="00A2019B">
              <w:rPr>
                <w:sz w:val="14"/>
                <w:szCs w:val="14"/>
                <w:lang w:val="ru-RU"/>
              </w:rPr>
              <w:t xml:space="preserve"> </w:t>
            </w:r>
            <w:r w:rsidRPr="00A2019B">
              <w:rPr>
                <w:sz w:val="14"/>
                <w:szCs w:val="14"/>
                <w:lang w:val="ru-RU"/>
              </w:rPr>
              <w:t>Пашинян, я не отмечаю. Да, я уже говорил применительно к сегодняшнему дню, но я</w:t>
            </w:r>
            <w:r w:rsidR="003B6CA1" w:rsidRPr="00A2019B">
              <w:rPr>
                <w:sz w:val="14"/>
                <w:szCs w:val="14"/>
                <w:lang w:val="ru-RU"/>
              </w:rPr>
              <w:t xml:space="preserve"> </w:t>
            </w:r>
            <w:r w:rsidRPr="00A2019B">
              <w:rPr>
                <w:sz w:val="14"/>
                <w:szCs w:val="14"/>
                <w:lang w:val="ru-RU"/>
              </w:rPr>
              <w:t>и к ситуации нескольких лет до этого считал и считаю, что страна, которая находится</w:t>
            </w:r>
            <w:r w:rsidR="003B6CA1" w:rsidRPr="00A2019B">
              <w:rPr>
                <w:sz w:val="14"/>
                <w:szCs w:val="14"/>
                <w:lang w:val="ru-RU"/>
              </w:rPr>
              <w:t xml:space="preserve"> </w:t>
            </w:r>
            <w:r w:rsidRPr="00A2019B">
              <w:rPr>
                <w:sz w:val="14"/>
                <w:szCs w:val="14"/>
                <w:lang w:val="ru-RU"/>
              </w:rPr>
              <w:t>в достаточно сложном положении, на грани боевых действий, не может себе позволить</w:t>
            </w:r>
            <w:r w:rsidR="003B6CA1" w:rsidRPr="00A2019B">
              <w:rPr>
                <w:sz w:val="14"/>
                <w:szCs w:val="14"/>
                <w:lang w:val="ru-RU"/>
              </w:rPr>
              <w:t xml:space="preserve"> </w:t>
            </w:r>
            <w:r w:rsidRPr="00A2019B">
              <w:rPr>
                <w:sz w:val="14"/>
                <w:szCs w:val="14"/>
                <w:lang w:val="ru-RU"/>
              </w:rPr>
              <w:t>организацию внутренней политической жизни и власти с помощью улиц. До хорошего этого</w:t>
            </w:r>
            <w:r w:rsidR="003B6CA1" w:rsidRPr="00A2019B">
              <w:rPr>
                <w:sz w:val="14"/>
                <w:szCs w:val="14"/>
                <w:lang w:val="ru-RU"/>
              </w:rPr>
              <w:t xml:space="preserve"> </w:t>
            </w:r>
            <w:r w:rsidRPr="00A2019B">
              <w:rPr>
                <w:sz w:val="14"/>
                <w:szCs w:val="14"/>
                <w:lang w:val="ru-RU"/>
              </w:rPr>
              <w:t>не доводит. Раскол общества не ведёт ни к чему хорошему. Консолидировать надо общество,</w:t>
            </w:r>
            <w:r w:rsidR="003B6CA1" w:rsidRPr="00A2019B">
              <w:rPr>
                <w:sz w:val="14"/>
                <w:szCs w:val="14"/>
                <w:lang w:val="ru-RU"/>
              </w:rPr>
              <w:t xml:space="preserve"> </w:t>
            </w:r>
            <w:r w:rsidRPr="00A2019B">
              <w:rPr>
                <w:sz w:val="14"/>
                <w:szCs w:val="14"/>
                <w:lang w:val="ru-RU"/>
              </w:rPr>
              <w:t>а не разваливать.</w:t>
            </w:r>
            <w:r w:rsidR="003B6CA1" w:rsidRPr="00A2019B">
              <w:rPr>
                <w:sz w:val="14"/>
                <w:szCs w:val="14"/>
                <w:lang w:val="ru-RU"/>
              </w:rPr>
              <w:t xml:space="preserve"> </w:t>
            </w:r>
            <w:r w:rsidRPr="00A2019B">
              <w:rPr>
                <w:sz w:val="14"/>
                <w:szCs w:val="14"/>
                <w:lang w:val="ru-RU"/>
              </w:rPr>
              <w:t>Но мою позицию все знают, я говорю об этом открыто, здесь я, не стесняясь, сейчас говорю</w:t>
            </w:r>
            <w:r w:rsidR="003B6CA1" w:rsidRPr="00A2019B">
              <w:rPr>
                <w:sz w:val="14"/>
                <w:szCs w:val="14"/>
                <w:lang w:val="ru-RU"/>
              </w:rPr>
              <w:t xml:space="preserve"> </w:t>
            </w:r>
            <w:r w:rsidRPr="00A2019B">
              <w:rPr>
                <w:sz w:val="14"/>
                <w:szCs w:val="14"/>
                <w:lang w:val="ru-RU"/>
              </w:rPr>
              <w:t>об этом публично. Но это никак не повлияло на наши отношения. Да, у меня были добрые</w:t>
            </w:r>
            <w:r w:rsidR="003B6CA1" w:rsidRPr="00A2019B">
              <w:rPr>
                <w:sz w:val="14"/>
                <w:szCs w:val="14"/>
                <w:lang w:val="ru-RU"/>
              </w:rPr>
              <w:t xml:space="preserve"> </w:t>
            </w:r>
            <w:r w:rsidRPr="00A2019B">
              <w:rPr>
                <w:sz w:val="14"/>
                <w:szCs w:val="14"/>
                <w:lang w:val="ru-RU"/>
              </w:rPr>
              <w:t>отношения с прежним руководством, я этого никогда не скрывал и не прятал эти отношения</w:t>
            </w:r>
            <w:r w:rsidR="003B6CA1" w:rsidRPr="00A2019B">
              <w:rPr>
                <w:sz w:val="14"/>
                <w:szCs w:val="14"/>
                <w:lang w:val="ru-RU"/>
              </w:rPr>
              <w:t xml:space="preserve"> </w:t>
            </w:r>
            <w:r w:rsidRPr="00A2019B">
              <w:rPr>
                <w:sz w:val="14"/>
                <w:szCs w:val="14"/>
                <w:lang w:val="ru-RU"/>
              </w:rPr>
              <w:t>никогда. Но это никак не отразилось на межгосударственных наших связях. Потому что, вопервых, у нас и личные отношения сложились достаточно доверительные и конструктивные.</w:t>
            </w:r>
            <w:r w:rsidR="003B6CA1" w:rsidRPr="00A2019B">
              <w:rPr>
                <w:sz w:val="14"/>
                <w:szCs w:val="14"/>
                <w:lang w:val="ru-RU"/>
              </w:rPr>
              <w:t xml:space="preserve"> </w:t>
            </w:r>
            <w:r w:rsidRPr="00A2019B">
              <w:rPr>
                <w:sz w:val="14"/>
                <w:szCs w:val="14"/>
                <w:lang w:val="ru-RU"/>
              </w:rPr>
              <w:t>Поэтому мне эти намёки не очень понятны. Первое.</w:t>
            </w:r>
            <w:r w:rsidR="003B6CA1" w:rsidRPr="00A2019B">
              <w:rPr>
                <w:sz w:val="14"/>
                <w:szCs w:val="14"/>
                <w:lang w:val="ru-RU"/>
              </w:rPr>
              <w:t xml:space="preserve"> </w:t>
            </w:r>
            <w:r w:rsidRPr="00A2019B">
              <w:rPr>
                <w:sz w:val="14"/>
                <w:szCs w:val="14"/>
                <w:lang w:val="ru-RU"/>
              </w:rPr>
              <w:t>А второе и очень важное. Кроме лиц, облечённых определённым доверием в своей</w:t>
            </w:r>
            <w:r w:rsidR="003B6CA1" w:rsidRPr="00A2019B">
              <w:rPr>
                <w:sz w:val="14"/>
                <w:szCs w:val="14"/>
                <w:lang w:val="ru-RU"/>
              </w:rPr>
              <w:t xml:space="preserve"> </w:t>
            </w:r>
            <w:r w:rsidRPr="00A2019B">
              <w:rPr>
                <w:sz w:val="14"/>
                <w:szCs w:val="14"/>
                <w:lang w:val="ru-RU"/>
              </w:rPr>
              <w:t>собственной стране, есть народ этой страны. И если Вы говорите об армянском народе,</w:t>
            </w:r>
            <w:r w:rsidR="003B6CA1" w:rsidRPr="00A2019B">
              <w:rPr>
                <w:sz w:val="14"/>
                <w:szCs w:val="14"/>
                <w:lang w:val="ru-RU"/>
              </w:rPr>
              <w:t xml:space="preserve"> </w:t>
            </w:r>
            <w:r w:rsidRPr="00A2019B">
              <w:rPr>
                <w:sz w:val="14"/>
                <w:szCs w:val="14"/>
                <w:lang w:val="ru-RU"/>
              </w:rPr>
              <w:t>то Россию и армян связывают многовековые отношения, уходящие корнями далеко-далеко</w:t>
            </w:r>
            <w:r w:rsidR="003B6CA1" w:rsidRPr="00A2019B">
              <w:rPr>
                <w:sz w:val="14"/>
                <w:szCs w:val="14"/>
                <w:lang w:val="ru-RU"/>
              </w:rPr>
              <w:t xml:space="preserve"> </w:t>
            </w:r>
            <w:r w:rsidRPr="00A2019B">
              <w:rPr>
                <w:sz w:val="14"/>
                <w:szCs w:val="14"/>
                <w:lang w:val="ru-RU"/>
              </w:rPr>
              <w:t>в прошлое.</w:t>
            </w:r>
            <w:r w:rsidR="003B6CA1" w:rsidRPr="00A2019B">
              <w:rPr>
                <w:sz w:val="14"/>
                <w:szCs w:val="14"/>
                <w:lang w:val="ru-RU"/>
              </w:rPr>
              <w:t xml:space="preserve"> </w:t>
            </w:r>
            <w:r w:rsidRPr="00A2019B">
              <w:rPr>
                <w:sz w:val="14"/>
                <w:szCs w:val="14"/>
                <w:lang w:val="ru-RU"/>
              </w:rPr>
              <w:t>В основе наших отношений – культурная, религиозная близость, многое исторически нас</w:t>
            </w:r>
            <w:r w:rsidR="003B6CA1" w:rsidRPr="00A2019B">
              <w:rPr>
                <w:sz w:val="14"/>
                <w:szCs w:val="14"/>
                <w:lang w:val="ru-RU"/>
              </w:rPr>
              <w:t xml:space="preserve"> </w:t>
            </w:r>
            <w:r w:rsidRPr="00A2019B">
              <w:rPr>
                <w:sz w:val="14"/>
                <w:szCs w:val="14"/>
                <w:lang w:val="ru-RU"/>
              </w:rPr>
              <w:t>связывает. И это важнее даже, чем отношения между конкретными людьми. Мы помним</w:t>
            </w:r>
            <w:r w:rsidR="003B6CA1" w:rsidRPr="00A2019B">
              <w:rPr>
                <w:sz w:val="14"/>
                <w:szCs w:val="14"/>
                <w:lang w:val="ru-RU"/>
              </w:rPr>
              <w:t xml:space="preserve"> </w:t>
            </w:r>
            <w:r w:rsidRPr="00A2019B">
              <w:rPr>
                <w:sz w:val="14"/>
                <w:szCs w:val="14"/>
                <w:lang w:val="ru-RU"/>
              </w:rPr>
              <w:t>об этом, никогда не забываем, и это лежит в основе нашего взаимодействия с Арменией.</w:t>
            </w:r>
          </w:p>
        </w:tc>
      </w:tr>
      <w:tr w:rsidR="00A2019B" w:rsidRPr="00355242" w14:paraId="12B630BB" w14:textId="77777777" w:rsidTr="00A2019B">
        <w:trPr>
          <w:trHeight w:val="300"/>
          <w:jc w:val="center"/>
        </w:trPr>
        <w:tc>
          <w:tcPr>
            <w:tcW w:w="639" w:type="dxa"/>
          </w:tcPr>
          <w:p w14:paraId="4B69B645" w14:textId="77777777" w:rsidR="00B2423C" w:rsidRPr="00A2019B" w:rsidRDefault="00B2423C" w:rsidP="00EB2D0C">
            <w:pPr>
              <w:ind w:firstLine="0"/>
              <w:jc w:val="center"/>
              <w:rPr>
                <w:b/>
                <w:sz w:val="14"/>
                <w:szCs w:val="14"/>
              </w:rPr>
            </w:pPr>
            <w:r w:rsidRPr="00A2019B">
              <w:rPr>
                <w:b/>
                <w:sz w:val="14"/>
                <w:szCs w:val="14"/>
              </w:rPr>
              <w:t>2020</w:t>
            </w:r>
          </w:p>
        </w:tc>
        <w:tc>
          <w:tcPr>
            <w:tcW w:w="1572" w:type="dxa"/>
          </w:tcPr>
          <w:p w14:paraId="318241B8" w14:textId="77777777" w:rsidR="00B2423C" w:rsidRPr="00A2019B" w:rsidRDefault="00B2423C" w:rsidP="00EB2D0C">
            <w:pPr>
              <w:ind w:firstLine="0"/>
              <w:jc w:val="center"/>
              <w:rPr>
                <w:b/>
                <w:sz w:val="14"/>
                <w:szCs w:val="14"/>
              </w:rPr>
            </w:pPr>
            <w:r w:rsidRPr="00A2019B">
              <w:rPr>
                <w:b/>
                <w:sz w:val="14"/>
                <w:szCs w:val="14"/>
              </w:rPr>
              <w:t>Aleksandr Kots</w:t>
            </w:r>
          </w:p>
        </w:tc>
        <w:tc>
          <w:tcPr>
            <w:tcW w:w="1350" w:type="dxa"/>
          </w:tcPr>
          <w:p w14:paraId="6D2002B6" w14:textId="0F08E225" w:rsidR="00B2423C" w:rsidRPr="00A2019B" w:rsidRDefault="00B2423C" w:rsidP="00EB2D0C">
            <w:pPr>
              <w:ind w:firstLine="0"/>
              <w:jc w:val="center"/>
              <w:rPr>
                <w:b/>
                <w:sz w:val="14"/>
                <w:szCs w:val="14"/>
              </w:rPr>
            </w:pPr>
            <w:r w:rsidRPr="00A2019B">
              <w:rPr>
                <w:b/>
                <w:sz w:val="14"/>
                <w:szCs w:val="14"/>
              </w:rPr>
              <w:t>Semi-official / war</w:t>
            </w:r>
            <w:r w:rsidR="00A2019B">
              <w:rPr>
                <w:b/>
                <w:sz w:val="14"/>
                <w:szCs w:val="14"/>
              </w:rPr>
              <w:t xml:space="preserve"> </w:t>
            </w:r>
            <w:r w:rsidRPr="00A2019B">
              <w:rPr>
                <w:b/>
                <w:sz w:val="14"/>
                <w:szCs w:val="14"/>
              </w:rPr>
              <w:t>correspondent</w:t>
            </w:r>
          </w:p>
        </w:tc>
        <w:tc>
          <w:tcPr>
            <w:tcW w:w="1690" w:type="dxa"/>
          </w:tcPr>
          <w:p w14:paraId="0014FC47" w14:textId="77777777" w:rsidR="00B2423C" w:rsidRPr="00A2019B" w:rsidRDefault="00B2423C" w:rsidP="00EB2D0C">
            <w:pPr>
              <w:ind w:firstLine="0"/>
              <w:jc w:val="center"/>
              <w:rPr>
                <w:b/>
                <w:sz w:val="14"/>
                <w:szCs w:val="14"/>
              </w:rPr>
            </w:pPr>
            <w:r w:rsidRPr="00A2019B">
              <w:rPr>
                <w:b/>
                <w:sz w:val="14"/>
                <w:szCs w:val="14"/>
              </w:rPr>
              <w:t>Newspaper article</w:t>
            </w:r>
          </w:p>
        </w:tc>
        <w:tc>
          <w:tcPr>
            <w:tcW w:w="10337" w:type="dxa"/>
          </w:tcPr>
          <w:p w14:paraId="46570060" w14:textId="4645F57C" w:rsidR="00B2423C" w:rsidRPr="00A2019B" w:rsidRDefault="00B2423C" w:rsidP="00A2019B">
            <w:pPr>
              <w:jc w:val="center"/>
              <w:rPr>
                <w:sz w:val="14"/>
                <w:szCs w:val="14"/>
                <w:lang w:val="ru-RU"/>
              </w:rPr>
            </w:pPr>
            <w:r w:rsidRPr="00A2019B">
              <w:rPr>
                <w:sz w:val="14"/>
                <w:szCs w:val="14"/>
                <w:lang w:val="ru-RU"/>
              </w:rPr>
              <w:t>Многим моим подписчикам, конечно, не понравится то, что я сейчас напишу, но это надо четко проговорить.</w:t>
            </w:r>
            <w:r w:rsidR="003B6CA1" w:rsidRPr="00A2019B">
              <w:rPr>
                <w:sz w:val="14"/>
                <w:szCs w:val="14"/>
                <w:lang w:val="ru-RU"/>
              </w:rPr>
              <w:t xml:space="preserve"> </w:t>
            </w:r>
            <w:r w:rsidRPr="00A2019B">
              <w:rPr>
                <w:sz w:val="14"/>
                <w:szCs w:val="14"/>
                <w:lang w:val="ru-RU"/>
              </w:rPr>
              <w:t>Давайте говорить честно. Путин, как ни крути, спас остатки Карабаха. Потому что вслед за Шуши, которую взяли под контроль азербайджанские войска, неминуемо пал бы и Степанакерт. До него оставалось несколько километров! А за ним - за считанные дни - был бы зачищен и весь остальной Арцах. Только жертв было бы еще больше. И еще больше — беженцев.</w:t>
            </w:r>
            <w:r w:rsidR="003B6CA1" w:rsidRPr="00A2019B">
              <w:rPr>
                <w:sz w:val="14"/>
                <w:szCs w:val="14"/>
                <w:lang w:val="ru-RU"/>
              </w:rPr>
              <w:t xml:space="preserve"> </w:t>
            </w:r>
            <w:r w:rsidRPr="00A2019B">
              <w:rPr>
                <w:sz w:val="14"/>
                <w:szCs w:val="14"/>
                <w:lang w:val="ru-RU"/>
              </w:rPr>
              <w:t>Примечательно, что соглашение было заключено без участия Турции. Москва в очередной раз подтвердила свое влияние в Закавказье, остановив кровопролитную войну.</w:t>
            </w:r>
            <w:r w:rsidR="003B6CA1" w:rsidRPr="00A2019B">
              <w:rPr>
                <w:sz w:val="14"/>
                <w:szCs w:val="14"/>
                <w:lang w:val="ru-RU"/>
              </w:rPr>
              <w:t xml:space="preserve"> </w:t>
            </w:r>
            <w:r w:rsidRPr="00A2019B">
              <w:rPr>
                <w:sz w:val="14"/>
                <w:szCs w:val="14"/>
                <w:lang w:val="ru-RU"/>
              </w:rPr>
              <w:t>Но давайте и констатировать непреложный факт: Азербайджан почти 30 лет готовился к реваншу после проигранной в начале 90-х войны за Карабах. Он закупался новейшей военной техникой, осваивал новые технологии, наблюдал за наработками сильнейших армий, в том числе – России и Турции, небольшими обострениями прощупывал оборону Карабаха…</w:t>
            </w:r>
            <w:r w:rsidR="003B6CA1" w:rsidRPr="00A2019B">
              <w:rPr>
                <w:sz w:val="14"/>
                <w:szCs w:val="14"/>
                <w:lang w:val="ru-RU"/>
              </w:rPr>
              <w:t xml:space="preserve"> </w:t>
            </w:r>
            <w:r w:rsidRPr="00A2019B">
              <w:rPr>
                <w:sz w:val="14"/>
                <w:szCs w:val="14"/>
                <w:lang w:val="ru-RU"/>
              </w:rPr>
              <w:t>А Армения, к ее нынешнему сожалению, почивала на лаврах прошлой победы, заигрывала в «многовекторность», чуть ли не требуя уже вывести российскую базу из Гюмри.</w:t>
            </w:r>
            <w:r w:rsidR="003B6CA1" w:rsidRPr="00A2019B">
              <w:rPr>
                <w:sz w:val="14"/>
                <w:szCs w:val="14"/>
                <w:lang w:val="ru-RU"/>
              </w:rPr>
              <w:t xml:space="preserve"> </w:t>
            </w:r>
            <w:r w:rsidRPr="00A2019B">
              <w:rPr>
                <w:sz w:val="14"/>
                <w:szCs w:val="14"/>
                <w:lang w:val="ru-RU"/>
              </w:rPr>
              <w:t>Так и хочется спросить сегодня у Никола Пашиняна: «Господин президент, помогли вам ваши янки? Или может быть Макрон посильно поучаствовал в судьбе Карабаха?»</w:t>
            </w:r>
            <w:r w:rsidR="003B6CA1" w:rsidRPr="00A2019B">
              <w:rPr>
                <w:sz w:val="14"/>
                <w:szCs w:val="14"/>
                <w:lang w:val="ru-RU"/>
              </w:rPr>
              <w:t xml:space="preserve"> </w:t>
            </w:r>
            <w:r w:rsidRPr="00A2019B">
              <w:rPr>
                <w:sz w:val="14"/>
                <w:szCs w:val="14"/>
                <w:lang w:val="ru-RU"/>
              </w:rPr>
              <w:t>Я смотрю на новостную хронику и, скрипя зубами, недоумеваю – тысячи здоровых мужиков в Ереване громят здание правительства, избивают политиков, рыдают на площадях, маршируют по улицам. И вспоминаю по-настоящему героических защитников Арцаха - в окопах на передовой, на артиллерийских позициях, которые в любой момент могут накрыть с воздуха беспилотники, в госпиталях со страшнейшими ранениями и злостью в глазах. Они честно сражались за свою землю, пока в глубоком тылу шли диванные битвы «офисных Рэмбо».</w:t>
            </w:r>
            <w:r w:rsidR="003B6CA1" w:rsidRPr="00A2019B">
              <w:rPr>
                <w:sz w:val="14"/>
                <w:szCs w:val="14"/>
                <w:lang w:val="ru-RU"/>
              </w:rPr>
              <w:t xml:space="preserve"> </w:t>
            </w:r>
            <w:r w:rsidRPr="00A2019B">
              <w:rPr>
                <w:sz w:val="14"/>
                <w:szCs w:val="14"/>
                <w:lang w:val="ru-RU"/>
              </w:rPr>
              <w:t>«Мы записались добровольцами, но это политика Пашиняна, он специально не отправлял нас». Тогда почему добровольцы, к примеру, из Абхазии благополучно добирались до фронта в Карабахе, а тысячи молодых и здоровых мужиков оставались в Ереване? Этот вопрос, кстати, сегодня задают и бойцы из Арцаха: «Почему вы там, на площадях призываете продолжить войну? Встаньте рядом с нами, в окопах».</w:t>
            </w:r>
            <w:r w:rsidR="003B6CA1" w:rsidRPr="00A2019B">
              <w:rPr>
                <w:sz w:val="14"/>
                <w:szCs w:val="14"/>
                <w:lang w:val="ru-RU"/>
              </w:rPr>
              <w:t xml:space="preserve"> </w:t>
            </w:r>
            <w:r w:rsidRPr="00A2019B">
              <w:rPr>
                <w:sz w:val="14"/>
                <w:szCs w:val="14"/>
                <w:lang w:val="ru-RU"/>
              </w:rPr>
              <w:t>Впрочем, вряд ли массовое добровольчество смогло бы кардинально переломить ситуацию. Потому что одним боевым духом (который у армянских отрядов на передовой действительно зашкаливал) беспилотники на высоте 8 километров не сбиваются. Пашиняну нужно было обеспечивать паритет в воздухе, перекидывать в регион современные системы ПВО, использовать авиацию… Для этого нужно политическое мужество, которого премьеру Армении не хватило. И нынешнее соглашение, разумеется, воспримут как его личное поражение, которое может поставить крест на его карьере.</w:t>
            </w:r>
          </w:p>
        </w:tc>
      </w:tr>
      <w:tr w:rsidR="00A2019B" w:rsidRPr="00A2019B" w14:paraId="53C90A2F" w14:textId="77777777" w:rsidTr="00A2019B">
        <w:trPr>
          <w:trHeight w:val="300"/>
          <w:jc w:val="center"/>
        </w:trPr>
        <w:tc>
          <w:tcPr>
            <w:tcW w:w="639" w:type="dxa"/>
          </w:tcPr>
          <w:p w14:paraId="72781ED7" w14:textId="77777777" w:rsidR="00B2423C" w:rsidRPr="00A2019B" w:rsidRDefault="00B2423C" w:rsidP="00EB2D0C">
            <w:pPr>
              <w:ind w:firstLine="0"/>
              <w:jc w:val="center"/>
              <w:rPr>
                <w:b/>
                <w:sz w:val="14"/>
                <w:szCs w:val="14"/>
              </w:rPr>
            </w:pPr>
            <w:r w:rsidRPr="00A2019B">
              <w:rPr>
                <w:b/>
                <w:sz w:val="14"/>
                <w:szCs w:val="14"/>
              </w:rPr>
              <w:t>2020</w:t>
            </w:r>
          </w:p>
        </w:tc>
        <w:tc>
          <w:tcPr>
            <w:tcW w:w="1572" w:type="dxa"/>
          </w:tcPr>
          <w:p w14:paraId="0544250E" w14:textId="77777777" w:rsidR="00B2423C" w:rsidRPr="00A2019B" w:rsidRDefault="00B2423C" w:rsidP="00EB2D0C">
            <w:pPr>
              <w:ind w:firstLine="0"/>
              <w:jc w:val="center"/>
              <w:rPr>
                <w:b/>
                <w:sz w:val="14"/>
                <w:szCs w:val="14"/>
              </w:rPr>
            </w:pPr>
            <w:r w:rsidRPr="00A2019B">
              <w:rPr>
                <w:b/>
                <w:sz w:val="14"/>
                <w:szCs w:val="14"/>
              </w:rPr>
              <w:t>Rostislav Zhuravlyov</w:t>
            </w:r>
          </w:p>
        </w:tc>
        <w:tc>
          <w:tcPr>
            <w:tcW w:w="1350" w:type="dxa"/>
          </w:tcPr>
          <w:p w14:paraId="224E42CF" w14:textId="77777777" w:rsidR="00B2423C" w:rsidRPr="00A2019B" w:rsidRDefault="00B2423C" w:rsidP="00EB2D0C">
            <w:pPr>
              <w:ind w:firstLine="0"/>
              <w:jc w:val="center"/>
              <w:rPr>
                <w:b/>
                <w:sz w:val="14"/>
                <w:szCs w:val="14"/>
              </w:rPr>
            </w:pPr>
            <w:r w:rsidRPr="00A2019B">
              <w:rPr>
                <w:b/>
                <w:sz w:val="14"/>
                <w:szCs w:val="14"/>
              </w:rPr>
              <w:t>Semi-official/war correspondent</w:t>
            </w:r>
          </w:p>
        </w:tc>
        <w:tc>
          <w:tcPr>
            <w:tcW w:w="1690" w:type="dxa"/>
          </w:tcPr>
          <w:p w14:paraId="2F65C5EF" w14:textId="77777777" w:rsidR="00B2423C" w:rsidRPr="00A2019B" w:rsidRDefault="00B2423C" w:rsidP="00EB2D0C">
            <w:pPr>
              <w:ind w:firstLine="0"/>
              <w:jc w:val="center"/>
              <w:rPr>
                <w:b/>
                <w:sz w:val="14"/>
                <w:szCs w:val="14"/>
              </w:rPr>
            </w:pPr>
            <w:r w:rsidRPr="00A2019B">
              <w:rPr>
                <w:b/>
                <w:sz w:val="14"/>
                <w:szCs w:val="14"/>
              </w:rPr>
              <w:t>Newspaper Article</w:t>
            </w:r>
          </w:p>
        </w:tc>
        <w:tc>
          <w:tcPr>
            <w:tcW w:w="10337" w:type="dxa"/>
          </w:tcPr>
          <w:p w14:paraId="0D821E17" w14:textId="24275F1C" w:rsidR="00B2423C" w:rsidRPr="00A2019B" w:rsidRDefault="00B2423C" w:rsidP="00A2019B">
            <w:pPr>
              <w:jc w:val="center"/>
              <w:rPr>
                <w:sz w:val="14"/>
                <w:szCs w:val="14"/>
                <w:lang w:val="ru-RU"/>
              </w:rPr>
            </w:pPr>
            <w:r w:rsidRPr="00A2019B">
              <w:rPr>
                <w:sz w:val="14"/>
                <w:szCs w:val="14"/>
                <w:lang w:val="ru-RU"/>
              </w:rPr>
              <w:t xml:space="preserve">Наши русские военные – удивительные люди: ещё вчера ты был дома с семьёй, а сегодня тебе дают приказ убыть в загадочное место под романтическим названием Нагорный Карабах или Арцах, как его называют сами армяне. В переводе с тюркского, кстати, эта земля называется «чёрный сад». По преданиям, персидские войска шаха Аббаса, в </w:t>
            </w:r>
            <w:r w:rsidRPr="00A2019B">
              <w:rPr>
                <w:sz w:val="14"/>
                <w:szCs w:val="14"/>
              </w:rPr>
              <w:t>XVII</w:t>
            </w:r>
            <w:r w:rsidRPr="00A2019B">
              <w:rPr>
                <w:sz w:val="14"/>
                <w:szCs w:val="14"/>
                <w:lang w:val="ru-RU"/>
              </w:rPr>
              <w:t xml:space="preserve"> веке пришедшие завоевать эту землю, увидели сожжённые равнины: при отступлении в горы армяне сожгли их.</w:t>
            </w:r>
            <w:r w:rsidR="003B6CA1" w:rsidRPr="00A2019B">
              <w:rPr>
                <w:sz w:val="14"/>
                <w:szCs w:val="14"/>
                <w:lang w:val="ru-RU"/>
              </w:rPr>
              <w:t xml:space="preserve"> </w:t>
            </w:r>
            <w:r w:rsidRPr="00A2019B">
              <w:rPr>
                <w:sz w:val="14"/>
                <w:szCs w:val="14"/>
                <w:lang w:val="ru-RU"/>
              </w:rPr>
              <w:t>Те же самые картины я наблюдаю и сейчас: в районах, которые должны быть переданы «той» стороне, хозяева сжигают свои дома, выкапывают могилы своих предков, расстреливают домашних животных, спиливают яблони.</w:t>
            </w:r>
            <w:r w:rsidR="003B6CA1" w:rsidRPr="00A2019B">
              <w:rPr>
                <w:sz w:val="14"/>
                <w:szCs w:val="14"/>
                <w:lang w:val="ru-RU"/>
              </w:rPr>
              <w:t xml:space="preserve"> </w:t>
            </w:r>
            <w:r w:rsidRPr="00A2019B">
              <w:rPr>
                <w:sz w:val="14"/>
                <w:szCs w:val="14"/>
                <w:lang w:val="ru-RU"/>
              </w:rPr>
              <w:t>Выжженная земля, которая горит под ногами.</w:t>
            </w:r>
            <w:r w:rsidR="003B6CA1" w:rsidRPr="00A2019B">
              <w:rPr>
                <w:sz w:val="14"/>
                <w:szCs w:val="14"/>
                <w:lang w:val="ru-RU"/>
              </w:rPr>
              <w:t xml:space="preserve"> </w:t>
            </w:r>
            <w:r w:rsidRPr="00A2019B">
              <w:rPr>
                <w:sz w:val="14"/>
                <w:szCs w:val="14"/>
                <w:lang w:val="ru-RU"/>
              </w:rPr>
              <w:t>Все войны разные, но всегда есть что-то общее. Непременные спутники конфликта – всегда собаки. Здесь, в брошенных сёлах, они ждут возвращения своих родных двуногих, которые почему-то пропали и бросили их. Этим голодным, но верным созданиям ещё невдомёк, что вернутся сюда к ним уже чужие люди.</w:t>
            </w:r>
            <w:r w:rsidR="003B6CA1" w:rsidRPr="00A2019B">
              <w:rPr>
                <w:sz w:val="14"/>
                <w:szCs w:val="14"/>
                <w:lang w:val="ru-RU"/>
              </w:rPr>
              <w:t xml:space="preserve"> </w:t>
            </w:r>
            <w:r w:rsidRPr="00A2019B">
              <w:rPr>
                <w:sz w:val="14"/>
                <w:szCs w:val="14"/>
                <w:lang w:val="ru-RU"/>
              </w:rPr>
              <w:t>Один из таких псов прибился к нам по пути. Добрая, воспитанная и человечная овчарка вопросительно смотрела в глаза и общалась с нами на русском языке. «Сидеть, дай лапу, а другую», – выполняла покорно. Покормили беднягу.</w:t>
            </w:r>
            <w:r w:rsidR="003B6CA1" w:rsidRPr="00A2019B">
              <w:rPr>
                <w:sz w:val="14"/>
                <w:szCs w:val="14"/>
                <w:lang w:val="ru-RU"/>
              </w:rPr>
              <w:t xml:space="preserve"> </w:t>
            </w:r>
            <w:r w:rsidRPr="00A2019B">
              <w:rPr>
                <w:sz w:val="14"/>
                <w:szCs w:val="14"/>
                <w:lang w:val="ru-RU"/>
              </w:rPr>
              <w:t>– Спасибо вам, наши спасители, – говорят люди на улицах, видя русские лица.</w:t>
            </w:r>
            <w:r w:rsidR="003B6CA1" w:rsidRPr="00A2019B">
              <w:rPr>
                <w:sz w:val="14"/>
                <w:szCs w:val="14"/>
                <w:lang w:val="ru-RU"/>
              </w:rPr>
              <w:t xml:space="preserve"> </w:t>
            </w:r>
            <w:r w:rsidRPr="00A2019B">
              <w:rPr>
                <w:sz w:val="14"/>
                <w:szCs w:val="14"/>
                <w:lang w:val="ru-RU"/>
              </w:rPr>
              <w:t>– Да мы-то что, – как-то неудобно вторим.</w:t>
            </w:r>
            <w:r w:rsidR="003B6CA1" w:rsidRPr="00A2019B">
              <w:rPr>
                <w:sz w:val="14"/>
                <w:szCs w:val="14"/>
                <w:lang w:val="ru-RU"/>
              </w:rPr>
              <w:t xml:space="preserve"> </w:t>
            </w:r>
            <w:r w:rsidRPr="00A2019B">
              <w:rPr>
                <w:sz w:val="14"/>
                <w:szCs w:val="14"/>
                <w:lang w:val="ru-RU"/>
              </w:rPr>
              <w:t>Местные видят, что мы работаем с нашими родными миротворцами и передвигаемся пока по дорогам только под специальной синей символикой «МС» и российским флагом. Ездим по-военному в кузове армейского КамАЗа, в котором на кондовой деревянной скамье ощущаешь каждую кочку или воронку от попадания. Впрочем, после нескольких часов тряски и глотания пыли начинаешь привыкать к песку на зубах и отбитой наглухо «пятой точке». Сидя у «трупоулавливателя» – борта грузовика, каждые две минуты отдаёшь людям приветствие, отвечая в ответ на громкие крики «спасибо» или сигнал автомобиля.</w:t>
            </w:r>
            <w:r w:rsidR="003B6CA1" w:rsidRPr="00A2019B">
              <w:rPr>
                <w:sz w:val="14"/>
                <w:szCs w:val="14"/>
                <w:lang w:val="ru-RU"/>
              </w:rPr>
              <w:t xml:space="preserve"> </w:t>
            </w:r>
            <w:r w:rsidRPr="00A2019B">
              <w:rPr>
                <w:sz w:val="14"/>
                <w:szCs w:val="14"/>
                <w:lang w:val="ru-RU"/>
              </w:rPr>
              <w:t>Русские «вежливые» в цифровом камуфляже здесь, на горных дорогах в густом молочном тумане, выглядят как римляне – этакий арцахский легион Третьего Рима на марше: в доспехах «ратник» и с новыми автоматами АК-12 в «космических» обвесах. Собранные и молчаливые, принёсшие русский мир на эту очарованную землю.</w:t>
            </w:r>
            <w:r w:rsidR="003B6CA1" w:rsidRPr="00A2019B">
              <w:rPr>
                <w:sz w:val="14"/>
                <w:szCs w:val="14"/>
                <w:lang w:val="ru-RU"/>
              </w:rPr>
              <w:t xml:space="preserve"> </w:t>
            </w:r>
            <w:r w:rsidRPr="00A2019B">
              <w:rPr>
                <w:sz w:val="14"/>
                <w:szCs w:val="14"/>
                <w:lang w:val="ru-RU"/>
              </w:rPr>
              <w:t>Болевой нерв</w:t>
            </w:r>
            <w:r w:rsidR="003B6CA1" w:rsidRPr="00A2019B">
              <w:rPr>
                <w:sz w:val="14"/>
                <w:szCs w:val="14"/>
                <w:lang w:val="ru-RU"/>
              </w:rPr>
              <w:t xml:space="preserve"> </w:t>
            </w:r>
            <w:r w:rsidRPr="00A2019B">
              <w:rPr>
                <w:sz w:val="14"/>
                <w:szCs w:val="14"/>
                <w:lang w:val="ru-RU"/>
              </w:rPr>
              <w:t>На азербайджанском блокпосту у уже знаменитого ключевого города Шуши, не скрываясь, развевается турецкий красный флаг с полумесяцем. За какими-то фанерками у перекрёстка снуют солдаты под знаменем Баку. Смотрят на нас, русских, с удивлением. Видно их грузовик с необычной надписью: «</w:t>
            </w:r>
            <w:r w:rsidRPr="00A2019B">
              <w:rPr>
                <w:sz w:val="14"/>
                <w:szCs w:val="14"/>
              </w:rPr>
              <w:t>N</w:t>
            </w:r>
            <w:r w:rsidRPr="00A2019B">
              <w:rPr>
                <w:sz w:val="14"/>
                <w:szCs w:val="14"/>
                <w:lang w:val="ru-RU"/>
              </w:rPr>
              <w:t xml:space="preserve">ə </w:t>
            </w:r>
            <w:r w:rsidRPr="00A2019B">
              <w:rPr>
                <w:sz w:val="14"/>
                <w:szCs w:val="14"/>
              </w:rPr>
              <w:t>oldu</w:t>
            </w:r>
            <w:r w:rsidRPr="00A2019B">
              <w:rPr>
                <w:sz w:val="14"/>
                <w:szCs w:val="14"/>
                <w:lang w:val="ru-RU"/>
              </w:rPr>
              <w:t xml:space="preserve"> </w:t>
            </w:r>
            <w:r w:rsidRPr="00A2019B">
              <w:rPr>
                <w:sz w:val="14"/>
                <w:szCs w:val="14"/>
              </w:rPr>
              <w:t>Pa</w:t>
            </w:r>
            <w:r w:rsidRPr="00A2019B">
              <w:rPr>
                <w:sz w:val="14"/>
                <w:szCs w:val="14"/>
                <w:lang w:val="ru-RU"/>
              </w:rPr>
              <w:t>şı</w:t>
            </w:r>
            <w:r w:rsidRPr="00A2019B">
              <w:rPr>
                <w:sz w:val="14"/>
                <w:szCs w:val="14"/>
              </w:rPr>
              <w:t>nyan</w:t>
            </w:r>
            <w:r w:rsidRPr="00A2019B">
              <w:rPr>
                <w:sz w:val="14"/>
                <w:szCs w:val="14"/>
                <w:lang w:val="ru-RU"/>
              </w:rPr>
              <w:t>». Непонятно первое слово, но второе явно не «молодец»… Переводчик говорит, что надпись означает: «Что случилось, Пашинян?».</w:t>
            </w:r>
            <w:r w:rsidR="003B6CA1" w:rsidRPr="00A2019B">
              <w:rPr>
                <w:sz w:val="14"/>
                <w:szCs w:val="14"/>
                <w:lang w:val="ru-RU"/>
              </w:rPr>
              <w:t xml:space="preserve"> </w:t>
            </w:r>
            <w:r w:rsidRPr="00A2019B">
              <w:rPr>
                <w:sz w:val="14"/>
                <w:szCs w:val="14"/>
                <w:lang w:val="ru-RU"/>
              </w:rPr>
              <w:t>Это крылатая фраза Алиева. В одном из своих обращений он произнёс её примерно следующим образом: «Что случилось, Пашинян, ты ведь дорогу в Джабраил строил. Танцевал (Пашинян пьяным танцевал в Шуши). Что стало со статусом [Нагорного Карабаха]? К чёрту полетел статус! Нет статуса и не будет! Пока я президент, не будет, – объясняет он.</w:t>
            </w:r>
            <w:r w:rsidR="003B6CA1" w:rsidRPr="00A2019B">
              <w:rPr>
                <w:sz w:val="14"/>
                <w:szCs w:val="14"/>
                <w:lang w:val="ru-RU"/>
              </w:rPr>
              <w:t xml:space="preserve"> </w:t>
            </w:r>
            <w:r w:rsidRPr="00A2019B">
              <w:rPr>
                <w:sz w:val="14"/>
                <w:szCs w:val="14"/>
                <w:lang w:val="ru-RU"/>
              </w:rPr>
              <w:t xml:space="preserve">А мы как раз инспектируем эти самые двадцать километров Лисогора до Шуши – «дорогу смерти». Не знаю… Этично ли говорить, а уж тем более снимать, но вдоль её обочин – куртки, окровавленные бронежилеты, части и куски тел, ящики из боеприпасов. </w:t>
            </w:r>
            <w:r w:rsidRPr="00A2019B">
              <w:rPr>
                <w:sz w:val="14"/>
                <w:szCs w:val="14"/>
              </w:rPr>
              <w:t>Этим фаршем усеяно всё на протяжении нескольких километров.</w:t>
            </w:r>
          </w:p>
        </w:tc>
      </w:tr>
      <w:tr w:rsidR="00A2019B" w:rsidRPr="00355242" w14:paraId="5263847B" w14:textId="77777777" w:rsidTr="00A2019B">
        <w:trPr>
          <w:trHeight w:val="300"/>
          <w:jc w:val="center"/>
        </w:trPr>
        <w:tc>
          <w:tcPr>
            <w:tcW w:w="639" w:type="dxa"/>
          </w:tcPr>
          <w:p w14:paraId="62987EE5" w14:textId="77777777" w:rsidR="00B2423C" w:rsidRPr="00A2019B" w:rsidRDefault="00B2423C" w:rsidP="00EB2D0C">
            <w:pPr>
              <w:ind w:firstLine="0"/>
              <w:jc w:val="center"/>
              <w:rPr>
                <w:b/>
                <w:sz w:val="14"/>
                <w:szCs w:val="14"/>
              </w:rPr>
            </w:pPr>
            <w:r w:rsidRPr="00A2019B">
              <w:rPr>
                <w:b/>
                <w:sz w:val="14"/>
                <w:szCs w:val="14"/>
              </w:rPr>
              <w:t>2021</w:t>
            </w:r>
          </w:p>
        </w:tc>
        <w:tc>
          <w:tcPr>
            <w:tcW w:w="1572" w:type="dxa"/>
          </w:tcPr>
          <w:p w14:paraId="0F48FE85" w14:textId="77777777" w:rsidR="00B2423C" w:rsidRPr="00A2019B" w:rsidRDefault="00B2423C" w:rsidP="00EB2D0C">
            <w:pPr>
              <w:ind w:firstLine="0"/>
              <w:jc w:val="center"/>
              <w:rPr>
                <w:b/>
                <w:sz w:val="14"/>
                <w:szCs w:val="14"/>
              </w:rPr>
            </w:pPr>
            <w:r w:rsidRPr="00A2019B">
              <w:rPr>
                <w:b/>
                <w:sz w:val="14"/>
                <w:szCs w:val="14"/>
              </w:rPr>
              <w:t>Andrey Rudenko</w:t>
            </w:r>
          </w:p>
        </w:tc>
        <w:tc>
          <w:tcPr>
            <w:tcW w:w="1350" w:type="dxa"/>
          </w:tcPr>
          <w:p w14:paraId="7E58FA4C" w14:textId="77777777" w:rsidR="00B2423C" w:rsidRPr="00A2019B" w:rsidRDefault="00B2423C" w:rsidP="00EB2D0C">
            <w:pPr>
              <w:ind w:firstLine="0"/>
              <w:jc w:val="center"/>
              <w:rPr>
                <w:b/>
                <w:sz w:val="14"/>
                <w:szCs w:val="14"/>
              </w:rPr>
            </w:pPr>
            <w:r w:rsidRPr="00A2019B">
              <w:rPr>
                <w:b/>
                <w:sz w:val="14"/>
                <w:szCs w:val="14"/>
              </w:rPr>
              <w:t>Official</w:t>
            </w:r>
          </w:p>
        </w:tc>
        <w:tc>
          <w:tcPr>
            <w:tcW w:w="1690" w:type="dxa"/>
          </w:tcPr>
          <w:p w14:paraId="3687287A" w14:textId="77777777" w:rsidR="00B2423C" w:rsidRPr="00A2019B" w:rsidRDefault="00B2423C" w:rsidP="00EB2D0C">
            <w:pPr>
              <w:ind w:firstLine="0"/>
              <w:jc w:val="center"/>
              <w:rPr>
                <w:b/>
                <w:sz w:val="14"/>
                <w:szCs w:val="14"/>
              </w:rPr>
            </w:pPr>
            <w:r w:rsidRPr="00A2019B">
              <w:rPr>
                <w:b/>
                <w:sz w:val="14"/>
                <w:szCs w:val="14"/>
              </w:rPr>
              <w:t>MFA interview</w:t>
            </w:r>
          </w:p>
        </w:tc>
        <w:tc>
          <w:tcPr>
            <w:tcW w:w="10337" w:type="dxa"/>
          </w:tcPr>
          <w:p w14:paraId="68C7C1D2" w14:textId="48CC3EA4" w:rsidR="00B2423C" w:rsidRPr="00A2019B" w:rsidRDefault="00B2423C" w:rsidP="00A2019B">
            <w:pPr>
              <w:jc w:val="center"/>
              <w:rPr>
                <w:sz w:val="14"/>
                <w:szCs w:val="14"/>
                <w:lang w:val="ru-RU"/>
              </w:rPr>
            </w:pPr>
            <w:r w:rsidRPr="00A2019B">
              <w:rPr>
                <w:sz w:val="14"/>
                <w:szCs w:val="14"/>
                <w:lang w:val="ru-RU"/>
              </w:rPr>
              <w:t>Отношения между Россией и Арменией – многогранные и</w:t>
            </w:r>
            <w:r w:rsidR="003B6CA1" w:rsidRPr="00A2019B">
              <w:rPr>
                <w:sz w:val="14"/>
                <w:szCs w:val="14"/>
                <w:lang w:val="ru-RU"/>
              </w:rPr>
              <w:t xml:space="preserve"> </w:t>
            </w:r>
            <w:r w:rsidRPr="00A2019B">
              <w:rPr>
                <w:sz w:val="14"/>
                <w:szCs w:val="14"/>
                <w:lang w:val="ru-RU"/>
              </w:rPr>
              <w:t>взаимодополняющие и не ограничиваются только взаимодействием по нагорнокарабахской проблематике. В этом контексте придаем большое значение</w:t>
            </w:r>
            <w:r w:rsidR="003B6CA1" w:rsidRPr="00A2019B">
              <w:rPr>
                <w:sz w:val="14"/>
                <w:szCs w:val="14"/>
                <w:lang w:val="ru-RU"/>
              </w:rPr>
              <w:t xml:space="preserve"> </w:t>
            </w:r>
            <w:r w:rsidRPr="00A2019B">
              <w:rPr>
                <w:sz w:val="14"/>
                <w:szCs w:val="14"/>
                <w:lang w:val="ru-RU"/>
              </w:rPr>
              <w:t>приближающейся дате 29-летия установления дипотношений между Россией и</w:t>
            </w:r>
            <w:r w:rsidR="003B6CA1" w:rsidRPr="00A2019B">
              <w:rPr>
                <w:sz w:val="14"/>
                <w:szCs w:val="14"/>
                <w:lang w:val="ru-RU"/>
              </w:rPr>
              <w:t xml:space="preserve"> </w:t>
            </w:r>
            <w:r w:rsidRPr="00A2019B">
              <w:rPr>
                <w:sz w:val="14"/>
                <w:szCs w:val="14"/>
                <w:lang w:val="ru-RU"/>
              </w:rPr>
              <w:t>Арменией. 3 апреля 1992 г. наши страны открыли новую страницу в истории</w:t>
            </w:r>
            <w:r w:rsidR="003B6CA1" w:rsidRPr="00A2019B">
              <w:rPr>
                <w:sz w:val="14"/>
                <w:szCs w:val="14"/>
                <w:lang w:val="ru-RU"/>
              </w:rPr>
              <w:t xml:space="preserve"> </w:t>
            </w:r>
            <w:r w:rsidRPr="00A2019B">
              <w:rPr>
                <w:sz w:val="14"/>
                <w:szCs w:val="14"/>
                <w:lang w:val="ru-RU"/>
              </w:rPr>
              <w:t>многовековых дружественных взаимовыгодных связей.</w:t>
            </w:r>
            <w:r w:rsidR="003B6CA1" w:rsidRPr="00A2019B">
              <w:rPr>
                <w:sz w:val="14"/>
                <w:szCs w:val="14"/>
                <w:lang w:val="ru-RU"/>
              </w:rPr>
              <w:t xml:space="preserve"> </w:t>
            </w:r>
            <w:r w:rsidRPr="00A2019B">
              <w:rPr>
                <w:sz w:val="14"/>
                <w:szCs w:val="14"/>
                <w:lang w:val="ru-RU"/>
              </w:rPr>
              <w:t>За эти годы российско-армянское сотрудничество приобрело подлинно</w:t>
            </w:r>
            <w:r w:rsidR="003B6CA1" w:rsidRPr="00A2019B">
              <w:rPr>
                <w:sz w:val="14"/>
                <w:szCs w:val="14"/>
                <w:lang w:val="ru-RU"/>
              </w:rPr>
              <w:t xml:space="preserve"> </w:t>
            </w:r>
            <w:r w:rsidRPr="00A2019B">
              <w:rPr>
                <w:sz w:val="14"/>
                <w:szCs w:val="14"/>
                <w:lang w:val="ru-RU"/>
              </w:rPr>
              <w:t>союзнический характер, отличается высокой интенсивностью политического диалога,</w:t>
            </w:r>
            <w:r w:rsidR="003B6CA1" w:rsidRPr="00A2019B">
              <w:rPr>
                <w:sz w:val="14"/>
                <w:szCs w:val="14"/>
                <w:lang w:val="ru-RU"/>
              </w:rPr>
              <w:t xml:space="preserve"> </w:t>
            </w:r>
            <w:r w:rsidRPr="00A2019B">
              <w:rPr>
                <w:sz w:val="14"/>
                <w:szCs w:val="14"/>
                <w:lang w:val="ru-RU"/>
              </w:rPr>
              <w:t>широким набором сфер взаимной кооперации, разветвленной договорно-правовой</w:t>
            </w:r>
            <w:r w:rsidR="003B6CA1" w:rsidRPr="00A2019B">
              <w:rPr>
                <w:sz w:val="14"/>
                <w:szCs w:val="14"/>
                <w:lang w:val="ru-RU"/>
              </w:rPr>
              <w:t xml:space="preserve"> </w:t>
            </w:r>
            <w:r w:rsidRPr="00A2019B">
              <w:rPr>
                <w:sz w:val="14"/>
                <w:szCs w:val="14"/>
                <w:lang w:val="ru-RU"/>
              </w:rPr>
              <w:t>базой. Важную роль играет подписанный 29 августа 1997 г. Договор о дружбе,</w:t>
            </w:r>
            <w:r w:rsidR="003B6CA1" w:rsidRPr="00A2019B">
              <w:rPr>
                <w:sz w:val="14"/>
                <w:szCs w:val="14"/>
                <w:lang w:val="ru-RU"/>
              </w:rPr>
              <w:t xml:space="preserve"> </w:t>
            </w:r>
            <w:r w:rsidRPr="00A2019B">
              <w:rPr>
                <w:sz w:val="14"/>
                <w:szCs w:val="14"/>
                <w:lang w:val="ru-RU"/>
              </w:rPr>
              <w:t>сотрудничестве и взаимной помощи между Российской Федерацией и Республикой</w:t>
            </w:r>
            <w:r w:rsidR="003B6CA1" w:rsidRPr="00A2019B">
              <w:rPr>
                <w:sz w:val="14"/>
                <w:szCs w:val="14"/>
                <w:lang w:val="ru-RU"/>
              </w:rPr>
              <w:t xml:space="preserve"> </w:t>
            </w:r>
            <w:r w:rsidRPr="00A2019B">
              <w:rPr>
                <w:sz w:val="14"/>
                <w:szCs w:val="14"/>
                <w:lang w:val="ru-RU"/>
              </w:rPr>
              <w:t>Армения, в соответствии с которым Россия и Армения обязываются оказывать друг</w:t>
            </w:r>
            <w:r w:rsidR="003B6CA1" w:rsidRPr="00A2019B">
              <w:rPr>
                <w:sz w:val="14"/>
                <w:szCs w:val="14"/>
                <w:lang w:val="ru-RU"/>
              </w:rPr>
              <w:t xml:space="preserve"> </w:t>
            </w:r>
            <w:r w:rsidRPr="00A2019B">
              <w:rPr>
                <w:sz w:val="14"/>
                <w:szCs w:val="14"/>
                <w:lang w:val="ru-RU"/>
              </w:rPr>
              <w:t>другу необходимое содействие, в том числе военное, в случае вооруженного нападения</w:t>
            </w:r>
            <w:r w:rsidR="003B6CA1" w:rsidRPr="00A2019B">
              <w:rPr>
                <w:sz w:val="14"/>
                <w:szCs w:val="14"/>
                <w:lang w:val="ru-RU"/>
              </w:rPr>
              <w:t xml:space="preserve"> </w:t>
            </w:r>
            <w:r w:rsidRPr="00A2019B">
              <w:rPr>
                <w:sz w:val="14"/>
                <w:szCs w:val="14"/>
                <w:lang w:val="ru-RU"/>
              </w:rPr>
              <w:t>на одну из них в порядке осуществления права на коллективную самооборону в</w:t>
            </w:r>
            <w:r w:rsidR="003B6CA1" w:rsidRPr="00A2019B">
              <w:rPr>
                <w:sz w:val="14"/>
                <w:szCs w:val="14"/>
                <w:lang w:val="ru-RU"/>
              </w:rPr>
              <w:t xml:space="preserve"> </w:t>
            </w:r>
            <w:r w:rsidRPr="00A2019B">
              <w:rPr>
                <w:sz w:val="14"/>
                <w:szCs w:val="14"/>
                <w:lang w:val="ru-RU"/>
              </w:rPr>
              <w:t>соответствии со статьей 51 Устава ООН. Благодаря активным посредническим усилиям</w:t>
            </w:r>
            <w:r w:rsidR="003B6CA1" w:rsidRPr="00A2019B">
              <w:rPr>
                <w:sz w:val="14"/>
                <w:szCs w:val="14"/>
                <w:lang w:val="ru-RU"/>
              </w:rPr>
              <w:t xml:space="preserve"> </w:t>
            </w:r>
            <w:r w:rsidRPr="00A2019B">
              <w:rPr>
                <w:sz w:val="14"/>
                <w:szCs w:val="14"/>
                <w:lang w:val="ru-RU"/>
              </w:rPr>
              <w:t>Российской Федерации и личному участию Президента В.В.Путина удалось остановить44-дневное вооруженное противостояние между Арменией и Азербайджаном в</w:t>
            </w:r>
            <w:r w:rsidR="003B6CA1" w:rsidRPr="00A2019B">
              <w:rPr>
                <w:sz w:val="14"/>
                <w:szCs w:val="14"/>
                <w:lang w:val="ru-RU"/>
              </w:rPr>
              <w:t xml:space="preserve"> </w:t>
            </w:r>
            <w:r w:rsidRPr="00A2019B">
              <w:rPr>
                <w:sz w:val="14"/>
                <w:szCs w:val="14"/>
                <w:lang w:val="ru-RU"/>
              </w:rPr>
              <w:t>Нагорном Карабахе.</w:t>
            </w:r>
            <w:r w:rsidR="003B6CA1" w:rsidRPr="00A2019B">
              <w:rPr>
                <w:sz w:val="14"/>
                <w:szCs w:val="14"/>
                <w:lang w:val="ru-RU"/>
              </w:rPr>
              <w:t xml:space="preserve"> </w:t>
            </w:r>
            <w:r w:rsidRPr="00A2019B">
              <w:rPr>
                <w:sz w:val="14"/>
                <w:szCs w:val="14"/>
                <w:lang w:val="ru-RU"/>
              </w:rPr>
              <w:t>9 ноября 2020 г. было принято заявление лидеров трех государств, которое позволило</w:t>
            </w:r>
            <w:r w:rsidR="003B6CA1" w:rsidRPr="00A2019B">
              <w:rPr>
                <w:sz w:val="14"/>
                <w:szCs w:val="14"/>
                <w:lang w:val="ru-RU"/>
              </w:rPr>
              <w:t xml:space="preserve"> </w:t>
            </w:r>
            <w:r w:rsidRPr="00A2019B">
              <w:rPr>
                <w:sz w:val="14"/>
                <w:szCs w:val="14"/>
                <w:lang w:val="ru-RU"/>
              </w:rPr>
              <w:t>остановить кровопролитие и начать движение к миру.</w:t>
            </w:r>
            <w:r w:rsidR="003B6CA1" w:rsidRPr="00A2019B">
              <w:rPr>
                <w:sz w:val="14"/>
                <w:szCs w:val="14"/>
                <w:lang w:val="ru-RU"/>
              </w:rPr>
              <w:t xml:space="preserve"> </w:t>
            </w:r>
            <w:r w:rsidRPr="00A2019B">
              <w:rPr>
                <w:sz w:val="14"/>
                <w:szCs w:val="14"/>
                <w:lang w:val="ru-RU"/>
              </w:rPr>
              <w:t>Как Вы правильно отметили, сегодня дислоцированные в регионе российский</w:t>
            </w:r>
            <w:r w:rsidR="003B6CA1" w:rsidRPr="00A2019B">
              <w:rPr>
                <w:sz w:val="14"/>
                <w:szCs w:val="14"/>
                <w:lang w:val="ru-RU"/>
              </w:rPr>
              <w:t xml:space="preserve"> </w:t>
            </w:r>
            <w:r w:rsidRPr="00A2019B">
              <w:rPr>
                <w:sz w:val="14"/>
                <w:szCs w:val="14"/>
                <w:lang w:val="ru-RU"/>
              </w:rPr>
              <w:t>миротворческий контингент и центр гуманитарного реагирования являются гарантами</w:t>
            </w:r>
            <w:r w:rsidR="003B6CA1" w:rsidRPr="00A2019B">
              <w:rPr>
                <w:sz w:val="14"/>
                <w:szCs w:val="14"/>
                <w:lang w:val="ru-RU"/>
              </w:rPr>
              <w:t xml:space="preserve"> </w:t>
            </w:r>
            <w:r w:rsidRPr="00A2019B">
              <w:rPr>
                <w:sz w:val="14"/>
                <w:szCs w:val="14"/>
                <w:lang w:val="ru-RU"/>
              </w:rPr>
              <w:t>безопасности и стабильности, выполняют жизненно значимые для местного населения</w:t>
            </w:r>
            <w:r w:rsidR="003B6CA1" w:rsidRPr="00A2019B">
              <w:rPr>
                <w:sz w:val="14"/>
                <w:szCs w:val="14"/>
                <w:lang w:val="ru-RU"/>
              </w:rPr>
              <w:t xml:space="preserve"> </w:t>
            </w:r>
            <w:r w:rsidRPr="00A2019B">
              <w:rPr>
                <w:sz w:val="14"/>
                <w:szCs w:val="14"/>
                <w:lang w:val="ru-RU"/>
              </w:rPr>
              <w:t>задачи. Прямая финансовая помощь Российской Федерации на содействие</w:t>
            </w:r>
            <w:r w:rsidR="003B6CA1" w:rsidRPr="00A2019B">
              <w:rPr>
                <w:sz w:val="14"/>
                <w:szCs w:val="14"/>
                <w:lang w:val="ru-RU"/>
              </w:rPr>
              <w:t xml:space="preserve"> </w:t>
            </w:r>
            <w:r w:rsidRPr="00A2019B">
              <w:rPr>
                <w:sz w:val="14"/>
                <w:szCs w:val="14"/>
                <w:lang w:val="ru-RU"/>
              </w:rPr>
              <w:t>пострадавшим в Нагорном Карабахе составляет на сегодняшний день около 15 млн</w:t>
            </w:r>
            <w:r w:rsidR="003B6CA1" w:rsidRPr="00A2019B">
              <w:rPr>
                <w:sz w:val="14"/>
                <w:szCs w:val="14"/>
                <w:lang w:val="ru-RU"/>
              </w:rPr>
              <w:t xml:space="preserve"> </w:t>
            </w:r>
            <w:r w:rsidRPr="00A2019B">
              <w:rPr>
                <w:sz w:val="14"/>
                <w:szCs w:val="14"/>
                <w:lang w:val="ru-RU"/>
              </w:rPr>
              <w:t>долл. США.</w:t>
            </w:r>
            <w:r w:rsidR="003B6CA1" w:rsidRPr="00A2019B">
              <w:rPr>
                <w:sz w:val="14"/>
                <w:szCs w:val="14"/>
                <w:lang w:val="ru-RU"/>
              </w:rPr>
              <w:t xml:space="preserve"> </w:t>
            </w:r>
            <w:r w:rsidRPr="00A2019B">
              <w:rPr>
                <w:sz w:val="14"/>
                <w:szCs w:val="14"/>
                <w:lang w:val="ru-RU"/>
              </w:rPr>
              <w:t>В результате активной работы по линии трехсторонней Рабочей группы под</w:t>
            </w:r>
            <w:r w:rsidR="003B6CA1" w:rsidRPr="00A2019B">
              <w:rPr>
                <w:sz w:val="14"/>
                <w:szCs w:val="14"/>
                <w:lang w:val="ru-RU"/>
              </w:rPr>
              <w:t xml:space="preserve"> </w:t>
            </w:r>
            <w:r w:rsidRPr="00A2019B">
              <w:rPr>
                <w:sz w:val="14"/>
                <w:szCs w:val="14"/>
                <w:lang w:val="ru-RU"/>
              </w:rPr>
              <w:t>председательством вице-премьеров Азербайджана, Армении и России, занимающейся</w:t>
            </w:r>
            <w:r w:rsidR="003B6CA1" w:rsidRPr="00A2019B">
              <w:rPr>
                <w:sz w:val="14"/>
                <w:szCs w:val="14"/>
                <w:lang w:val="ru-RU"/>
              </w:rPr>
              <w:t xml:space="preserve"> </w:t>
            </w:r>
            <w:r w:rsidRPr="00A2019B">
              <w:rPr>
                <w:sz w:val="14"/>
                <w:szCs w:val="14"/>
                <w:lang w:val="ru-RU"/>
              </w:rPr>
              <w:t>вопросами разблокирования экономических и транспортных коммуникаций в регионе</w:t>
            </w:r>
            <w:r w:rsidR="003B6CA1" w:rsidRPr="00A2019B">
              <w:rPr>
                <w:sz w:val="14"/>
                <w:szCs w:val="14"/>
                <w:lang w:val="ru-RU"/>
              </w:rPr>
              <w:t xml:space="preserve"> </w:t>
            </w:r>
            <w:r w:rsidRPr="00A2019B">
              <w:rPr>
                <w:sz w:val="14"/>
                <w:szCs w:val="14"/>
                <w:lang w:val="ru-RU"/>
              </w:rPr>
              <w:t>(состоялось пять заседаний), создаются условия для восстановления нормальной жизни</w:t>
            </w:r>
            <w:r w:rsidR="003B6CA1" w:rsidRPr="00A2019B">
              <w:rPr>
                <w:sz w:val="14"/>
                <w:szCs w:val="14"/>
                <w:lang w:val="ru-RU"/>
              </w:rPr>
              <w:t xml:space="preserve"> </w:t>
            </w:r>
            <w:r w:rsidRPr="00A2019B">
              <w:rPr>
                <w:sz w:val="14"/>
                <w:szCs w:val="14"/>
                <w:lang w:val="ru-RU"/>
              </w:rPr>
              <w:t>на Южном Кавказе, превращения его в территорию взаимного доверия, безопасности и</w:t>
            </w:r>
            <w:r w:rsidR="003B6CA1" w:rsidRPr="00A2019B">
              <w:rPr>
                <w:sz w:val="14"/>
                <w:szCs w:val="14"/>
                <w:lang w:val="ru-RU"/>
              </w:rPr>
              <w:t xml:space="preserve"> </w:t>
            </w:r>
            <w:r w:rsidRPr="00A2019B">
              <w:rPr>
                <w:sz w:val="14"/>
                <w:szCs w:val="14"/>
                <w:lang w:val="ru-RU"/>
              </w:rPr>
              <w:t>процветания.</w:t>
            </w:r>
            <w:r w:rsidR="003B6CA1" w:rsidRPr="00A2019B">
              <w:rPr>
                <w:sz w:val="14"/>
                <w:szCs w:val="14"/>
                <w:lang w:val="ru-RU"/>
              </w:rPr>
              <w:t xml:space="preserve"> </w:t>
            </w:r>
            <w:r w:rsidRPr="00A2019B">
              <w:rPr>
                <w:sz w:val="14"/>
                <w:szCs w:val="14"/>
                <w:lang w:val="ru-RU"/>
              </w:rPr>
              <w:t>Все это убедительно свидетельствует, что Россия всегда готова подставить плечо</w:t>
            </w:r>
            <w:r w:rsidR="003B6CA1" w:rsidRPr="00A2019B">
              <w:rPr>
                <w:sz w:val="14"/>
                <w:szCs w:val="14"/>
                <w:lang w:val="ru-RU"/>
              </w:rPr>
              <w:t xml:space="preserve"> </w:t>
            </w:r>
            <w:r w:rsidRPr="00A2019B">
              <w:rPr>
                <w:sz w:val="14"/>
                <w:szCs w:val="14"/>
                <w:lang w:val="ru-RU"/>
              </w:rPr>
              <w:t>братскому армянскому народу, вместе работать на благо общих интересов.</w:t>
            </w:r>
          </w:p>
        </w:tc>
      </w:tr>
      <w:tr w:rsidR="00A2019B" w:rsidRPr="00355242" w14:paraId="40AA491F" w14:textId="77777777" w:rsidTr="00A2019B">
        <w:trPr>
          <w:trHeight w:val="300"/>
          <w:jc w:val="center"/>
        </w:trPr>
        <w:tc>
          <w:tcPr>
            <w:tcW w:w="639" w:type="dxa"/>
          </w:tcPr>
          <w:p w14:paraId="4EDE51CD" w14:textId="77777777" w:rsidR="00B2423C" w:rsidRPr="00A2019B" w:rsidRDefault="00B2423C" w:rsidP="00EB2D0C">
            <w:pPr>
              <w:ind w:firstLine="0"/>
              <w:jc w:val="center"/>
              <w:rPr>
                <w:b/>
                <w:sz w:val="14"/>
                <w:szCs w:val="14"/>
              </w:rPr>
            </w:pPr>
            <w:r w:rsidRPr="00A2019B">
              <w:rPr>
                <w:b/>
                <w:sz w:val="14"/>
                <w:szCs w:val="14"/>
              </w:rPr>
              <w:t>2021</w:t>
            </w:r>
          </w:p>
        </w:tc>
        <w:tc>
          <w:tcPr>
            <w:tcW w:w="1572" w:type="dxa"/>
          </w:tcPr>
          <w:p w14:paraId="41F50DA0" w14:textId="77777777" w:rsidR="00B2423C" w:rsidRPr="00A2019B" w:rsidRDefault="00B2423C" w:rsidP="00EB2D0C">
            <w:pPr>
              <w:ind w:firstLine="0"/>
              <w:jc w:val="center"/>
              <w:rPr>
                <w:b/>
                <w:sz w:val="14"/>
                <w:szCs w:val="14"/>
              </w:rPr>
            </w:pPr>
            <w:r w:rsidRPr="00A2019B">
              <w:rPr>
                <w:b/>
                <w:sz w:val="14"/>
                <w:szCs w:val="14"/>
              </w:rPr>
              <w:t>Ara Abrahamyan</w:t>
            </w:r>
          </w:p>
        </w:tc>
        <w:tc>
          <w:tcPr>
            <w:tcW w:w="1350" w:type="dxa"/>
          </w:tcPr>
          <w:p w14:paraId="71187908" w14:textId="44DF46C8" w:rsidR="00B2423C" w:rsidRPr="00A2019B" w:rsidRDefault="00B2423C" w:rsidP="00EB2D0C">
            <w:pPr>
              <w:ind w:firstLine="0"/>
              <w:jc w:val="center"/>
              <w:rPr>
                <w:b/>
                <w:sz w:val="14"/>
                <w:szCs w:val="14"/>
              </w:rPr>
            </w:pPr>
            <w:r w:rsidRPr="00A2019B">
              <w:rPr>
                <w:b/>
                <w:sz w:val="14"/>
                <w:szCs w:val="14"/>
              </w:rPr>
              <w:t>Semi-official</w:t>
            </w:r>
            <w:r w:rsidR="00C94038">
              <w:rPr>
                <w:b/>
                <w:sz w:val="14"/>
                <w:szCs w:val="14"/>
              </w:rPr>
              <w:t xml:space="preserve"> </w:t>
            </w:r>
            <w:r w:rsidRPr="00A2019B">
              <w:rPr>
                <w:b/>
                <w:sz w:val="14"/>
                <w:szCs w:val="14"/>
              </w:rPr>
              <w:t>figure</w:t>
            </w:r>
          </w:p>
        </w:tc>
        <w:tc>
          <w:tcPr>
            <w:tcW w:w="1690" w:type="dxa"/>
          </w:tcPr>
          <w:p w14:paraId="52E813CD" w14:textId="77777777" w:rsidR="00B2423C" w:rsidRPr="00A2019B" w:rsidRDefault="00B2423C" w:rsidP="00EB2D0C">
            <w:pPr>
              <w:ind w:firstLine="0"/>
              <w:jc w:val="center"/>
              <w:rPr>
                <w:b/>
                <w:sz w:val="14"/>
                <w:szCs w:val="14"/>
              </w:rPr>
            </w:pPr>
            <w:r w:rsidRPr="00A2019B">
              <w:rPr>
                <w:b/>
                <w:sz w:val="14"/>
                <w:szCs w:val="14"/>
              </w:rPr>
              <w:t>Public speech</w:t>
            </w:r>
          </w:p>
        </w:tc>
        <w:tc>
          <w:tcPr>
            <w:tcW w:w="10337" w:type="dxa"/>
          </w:tcPr>
          <w:p w14:paraId="5684D348" w14:textId="423F2A57" w:rsidR="00B2423C" w:rsidRPr="00A2019B" w:rsidRDefault="00B2423C" w:rsidP="00A2019B">
            <w:pPr>
              <w:jc w:val="center"/>
              <w:rPr>
                <w:sz w:val="14"/>
                <w:szCs w:val="14"/>
                <w:lang w:val="ru-RU"/>
              </w:rPr>
            </w:pPr>
            <w:r w:rsidRPr="00A2019B">
              <w:rPr>
                <w:sz w:val="14"/>
                <w:szCs w:val="14"/>
                <w:lang w:val="ru-RU"/>
              </w:rPr>
              <w:t>Народ не должен более верить демагогическим речам о якобы принесённом в регион мире. Оставив нерешённым вопрос о статусе Арцаха и, при этом, уступив противнику большую часть исторических армянских земель, Пашинян не только не приблизил нас к миру, но, наоборот, создал условия для новой войны и агрессии со стороны Азербайджана. Его уступчивость и беззубость не утихомирили, а наоборот, лишь ещё больше раззадорили агрессивное воображение Алиева, окрылённого поддержкой Турции и ближневосточных террористических группировок. И акты агрессии со стороны Баку будут продолжаться, пока это правительство у власти в Армении. Потому что оно, спустя год после окончания Второй карабахской войны, не сделало ничего для укрепления армии и боевого духа солдат и офицеров, для укрепления границ и обеспечения безопасности граждан страны.</w:t>
            </w:r>
            <w:r w:rsidR="003B6CA1" w:rsidRPr="00A2019B">
              <w:rPr>
                <w:sz w:val="14"/>
                <w:szCs w:val="14"/>
                <w:lang w:val="ru-RU"/>
              </w:rPr>
              <w:t xml:space="preserve"> </w:t>
            </w:r>
            <w:r w:rsidRPr="00A2019B">
              <w:rPr>
                <w:sz w:val="14"/>
                <w:szCs w:val="14"/>
                <w:lang w:val="ru-RU"/>
              </w:rPr>
              <w:t>То, что Пашинян называет «миром», является унижением для армянского народа и армянского солдата. Сам Пашинян, как глава государства, давно обесценен в глазах мирового сообщества, его серьёзно нигде не воспринимают, и он делает всё, чтобы наподобие себя обесценить всех остальных армян – не только проживающих в Армении, но и в других странах мира.</w:t>
            </w:r>
            <w:r w:rsidR="003B6CA1" w:rsidRPr="00A2019B">
              <w:rPr>
                <w:sz w:val="14"/>
                <w:szCs w:val="14"/>
                <w:lang w:val="ru-RU"/>
              </w:rPr>
              <w:t xml:space="preserve"> </w:t>
            </w:r>
            <w:r w:rsidRPr="00A2019B">
              <w:rPr>
                <w:sz w:val="14"/>
                <w:szCs w:val="14"/>
                <w:lang w:val="ru-RU"/>
              </w:rPr>
              <w:t>Сегодня команда Пашиняна занята целенаправленным внедрением русофобских настроений в армянском обществе, людей вводят в заблуждение относительно истинной роли России в остановке кровопролитной 44-дневной войны и сохранении послевоенного мира. Устами секретаря Совбеза и провластных депутатов пытаются шантажировать Россию тем, что если она не поможет Армении, то последняя обратится к другим партнёрам. Хотелось бы спросить: а что мешало год назад или мешает сегодня правительству Армении обратиться к разным странам и международным организациям с просьбой о помощи? Россия? Нет, конечно же. Союзнические отношения с Россией никак не препятствуют этому, и никогда Россия не была против того, чтобы Армения сотрудничала с другими странами или обращалась к ним за помощью. Если правительство Армении знает страны и партнёров, которые хотят и могут помочь в этот судьбоносный момент нашей стране и не обращается к ним – то это, извините, преступление перед своим народом. Подобного рода заявления – всего лишь подмена понятий и ширма, прикрывающая истинные намерения и деяния их авторов, ведущих к искусственному разжиганию антироссийских настроений в обществе.</w:t>
            </w:r>
            <w:r w:rsidR="003B6CA1" w:rsidRPr="00A2019B">
              <w:rPr>
                <w:sz w:val="14"/>
                <w:szCs w:val="14"/>
                <w:lang w:val="ru-RU"/>
              </w:rPr>
              <w:t xml:space="preserve"> </w:t>
            </w:r>
            <w:r w:rsidRPr="00A2019B">
              <w:rPr>
                <w:sz w:val="14"/>
                <w:szCs w:val="14"/>
                <w:lang w:val="ru-RU"/>
              </w:rPr>
              <w:t>Что ещё должен сделать Пашинян, чтобы наш народ осознал, ЧТО мы теряем в результате его политики? Я понимаю, что простым людям, думающим о хлебе насущном, оплакивающим своих погибших детей, сложно думать о чём-то другом и правильно оценивать реальность. Но все те, кто осознаёт, что творится сегодня, и при этом молчит и делает вид, что его это не касается - является соучастником происходящего.</w:t>
            </w:r>
            <w:r w:rsidR="003B6CA1" w:rsidRPr="00A2019B">
              <w:rPr>
                <w:sz w:val="14"/>
                <w:szCs w:val="14"/>
                <w:lang w:val="ru-RU"/>
              </w:rPr>
              <w:t xml:space="preserve"> </w:t>
            </w:r>
            <w:r w:rsidRPr="00A2019B">
              <w:rPr>
                <w:sz w:val="14"/>
                <w:szCs w:val="14"/>
                <w:lang w:val="ru-RU"/>
              </w:rPr>
              <w:t>У меня душа болит за нашу Родину, за этих молодых солдат, которые из-за некомпетентности руководства, попадают в плен к азербайджанцам. Мы все знаем, в том числе и по кадрам, которые сами азербайджанцы выкладывают, какое зверское, фашистское отношение к этим ребятам там. Это же юнцы, они ещё жизни не видели, многие ещё вчера сидели за школьной партой, ещё даже девушку за руку не держали, - а их сегодня ведут на закланье. При этом, премьер-министр фактически угрожает пленённым солдатам расследованием!  Дело властей - освобождать пленных, а не запугивать расследованиями и преследованиями. А в расследовании давно уже нуждается деятельность правительства Пашиняна: как во время 44–дневной войны, так и после неё.</w:t>
            </w:r>
          </w:p>
        </w:tc>
      </w:tr>
      <w:tr w:rsidR="00A2019B" w:rsidRPr="00A2019B" w14:paraId="136A5087" w14:textId="77777777" w:rsidTr="00A2019B">
        <w:trPr>
          <w:trHeight w:val="300"/>
          <w:jc w:val="center"/>
        </w:trPr>
        <w:tc>
          <w:tcPr>
            <w:tcW w:w="639" w:type="dxa"/>
          </w:tcPr>
          <w:p w14:paraId="5FC40D8A" w14:textId="77777777" w:rsidR="00B2423C" w:rsidRPr="00A2019B" w:rsidRDefault="00B2423C" w:rsidP="00EB2D0C">
            <w:pPr>
              <w:ind w:firstLine="0"/>
              <w:jc w:val="center"/>
              <w:rPr>
                <w:b/>
                <w:sz w:val="14"/>
                <w:szCs w:val="14"/>
              </w:rPr>
            </w:pPr>
            <w:r w:rsidRPr="00A2019B">
              <w:rPr>
                <w:b/>
                <w:sz w:val="14"/>
                <w:szCs w:val="14"/>
              </w:rPr>
              <w:t>2022</w:t>
            </w:r>
          </w:p>
        </w:tc>
        <w:tc>
          <w:tcPr>
            <w:tcW w:w="1572" w:type="dxa"/>
          </w:tcPr>
          <w:p w14:paraId="7F485AD2" w14:textId="77777777" w:rsidR="00B2423C" w:rsidRPr="00A2019B" w:rsidRDefault="00B2423C" w:rsidP="00EB2D0C">
            <w:pPr>
              <w:ind w:firstLine="0"/>
              <w:jc w:val="center"/>
              <w:rPr>
                <w:b/>
                <w:sz w:val="14"/>
                <w:szCs w:val="14"/>
              </w:rPr>
            </w:pPr>
            <w:r w:rsidRPr="00A2019B">
              <w:rPr>
                <w:b/>
                <w:sz w:val="14"/>
                <w:szCs w:val="14"/>
              </w:rPr>
              <w:t>Margarita Simonyan</w:t>
            </w:r>
          </w:p>
        </w:tc>
        <w:tc>
          <w:tcPr>
            <w:tcW w:w="1350" w:type="dxa"/>
          </w:tcPr>
          <w:p w14:paraId="15D11584" w14:textId="44AB3927" w:rsidR="00B2423C" w:rsidRPr="00A2019B" w:rsidRDefault="00B2423C" w:rsidP="00EB2D0C">
            <w:pPr>
              <w:ind w:firstLine="0"/>
              <w:jc w:val="center"/>
              <w:rPr>
                <w:b/>
                <w:sz w:val="14"/>
                <w:szCs w:val="14"/>
              </w:rPr>
            </w:pPr>
            <w:r w:rsidRPr="00A2019B">
              <w:rPr>
                <w:b/>
                <w:sz w:val="14"/>
                <w:szCs w:val="14"/>
              </w:rPr>
              <w:t>Semi-official</w:t>
            </w:r>
            <w:r w:rsidR="00C94038">
              <w:rPr>
                <w:b/>
                <w:sz w:val="14"/>
                <w:szCs w:val="14"/>
              </w:rPr>
              <w:t xml:space="preserve">/ </w:t>
            </w:r>
            <w:r w:rsidRPr="00A2019B">
              <w:rPr>
                <w:b/>
                <w:sz w:val="14"/>
                <w:szCs w:val="14"/>
              </w:rPr>
              <w:t>media figure</w:t>
            </w:r>
          </w:p>
        </w:tc>
        <w:tc>
          <w:tcPr>
            <w:tcW w:w="1690" w:type="dxa"/>
          </w:tcPr>
          <w:p w14:paraId="113319BC" w14:textId="77777777" w:rsidR="00B2423C" w:rsidRPr="00A2019B" w:rsidRDefault="00B2423C" w:rsidP="00EB2D0C">
            <w:pPr>
              <w:ind w:firstLine="0"/>
              <w:jc w:val="center"/>
              <w:rPr>
                <w:b/>
                <w:sz w:val="14"/>
                <w:szCs w:val="14"/>
              </w:rPr>
            </w:pPr>
            <w:r w:rsidRPr="00A2019B">
              <w:rPr>
                <w:b/>
                <w:sz w:val="14"/>
                <w:szCs w:val="14"/>
              </w:rPr>
              <w:t>Telegram post</w:t>
            </w:r>
          </w:p>
        </w:tc>
        <w:tc>
          <w:tcPr>
            <w:tcW w:w="10337" w:type="dxa"/>
          </w:tcPr>
          <w:p w14:paraId="7B735AAB" w14:textId="43F243EC" w:rsidR="00B2423C" w:rsidRPr="00A2019B" w:rsidRDefault="00B2423C" w:rsidP="00A2019B">
            <w:pPr>
              <w:jc w:val="center"/>
              <w:rPr>
                <w:sz w:val="14"/>
                <w:szCs w:val="14"/>
                <w:lang w:val="ru-RU"/>
              </w:rPr>
            </w:pPr>
            <w:r w:rsidRPr="00A2019B">
              <w:rPr>
                <w:sz w:val="14"/>
                <w:szCs w:val="14"/>
                <w:lang w:val="ru-RU"/>
              </w:rPr>
              <w:t>Я обращаюсь к армянской власти. Именно к власти, а не к народу, частью которого я являюсь.</w:t>
            </w:r>
            <w:r w:rsidR="00A2019B" w:rsidRPr="00A2019B">
              <w:rPr>
                <w:sz w:val="14"/>
                <w:szCs w:val="14"/>
                <w:lang w:val="ru-RU"/>
              </w:rPr>
              <w:t>␣</w:t>
            </w:r>
            <w:r w:rsidRPr="00A2019B">
              <w:rPr>
                <w:sz w:val="14"/>
                <w:szCs w:val="14"/>
                <w:lang w:val="ru-RU"/>
              </w:rPr>
              <w:t>Обращаюсь только потому, что ваши интернет-войска унавозили мои соцсети требованиями (в хамской и агрессивной форме) 'выразить свою позицию'.</w:t>
            </w:r>
            <w:r w:rsidR="003B6CA1" w:rsidRPr="00A2019B">
              <w:rPr>
                <w:sz w:val="14"/>
                <w:szCs w:val="14"/>
                <w:lang w:val="ru-RU"/>
              </w:rPr>
              <w:t xml:space="preserve"> </w:t>
            </w:r>
            <w:r w:rsidRPr="00A2019B">
              <w:rPr>
                <w:sz w:val="14"/>
                <w:szCs w:val="14"/>
                <w:lang w:val="ru-RU"/>
              </w:rPr>
              <w:t>Просили — выражаю.</w:t>
            </w:r>
            <w:r w:rsidR="003B6CA1" w:rsidRPr="00A2019B">
              <w:rPr>
                <w:sz w:val="14"/>
                <w:szCs w:val="14"/>
                <w:lang w:val="ru-RU"/>
              </w:rPr>
              <w:t xml:space="preserve"> </w:t>
            </w:r>
            <w:r w:rsidRPr="00A2019B">
              <w:rPr>
                <w:sz w:val="14"/>
                <w:szCs w:val="14"/>
                <w:lang w:val="ru-RU"/>
              </w:rPr>
              <w:t>Посмотрите на себя со стороны. Посмотрите, что вы творите. Как вы себя ведете. Какие же вы армяне?</w:t>
            </w:r>
            <w:r w:rsidR="003B6CA1" w:rsidRPr="00A2019B">
              <w:rPr>
                <w:sz w:val="14"/>
                <w:szCs w:val="14"/>
                <w:lang w:val="ru-RU"/>
              </w:rPr>
              <w:t xml:space="preserve"> </w:t>
            </w:r>
            <w:r w:rsidRPr="00A2019B">
              <w:rPr>
                <w:sz w:val="14"/>
                <w:szCs w:val="14"/>
                <w:lang w:val="ru-RU"/>
              </w:rPr>
              <w:t>Армяне — честный, благородный и благодарный народ. Всегда таким был. А вы ведете себя, как (ЗАПРЕЩЕНО РОСКОМНАДЗОРОМ).</w:t>
            </w:r>
            <w:r w:rsidR="003B6CA1" w:rsidRPr="00A2019B">
              <w:rPr>
                <w:sz w:val="14"/>
                <w:szCs w:val="14"/>
                <w:lang w:val="ru-RU"/>
              </w:rPr>
              <w:t xml:space="preserve"> </w:t>
            </w:r>
            <w:r w:rsidRPr="00A2019B">
              <w:rPr>
                <w:sz w:val="14"/>
                <w:szCs w:val="14"/>
                <w:lang w:val="ru-RU"/>
              </w:rPr>
              <w:t>В ответ на многолетнее добро и защиту, которые вы получали от России, вы не признали Крым. Потому что это внутреннее дело Армении.</w:t>
            </w:r>
            <w:r w:rsidR="003B6CA1" w:rsidRPr="00A2019B">
              <w:rPr>
                <w:sz w:val="14"/>
                <w:szCs w:val="14"/>
                <w:lang w:val="ru-RU"/>
              </w:rPr>
              <w:t xml:space="preserve"> </w:t>
            </w:r>
            <w:r w:rsidRPr="00A2019B">
              <w:rPr>
                <w:sz w:val="14"/>
                <w:szCs w:val="14"/>
                <w:lang w:val="ru-RU"/>
              </w:rPr>
              <w:t>Исключительно из политической мести вы посадили Роберта Кочаряна — неизменного союзника России. Посадили специально, демонстративно, плюнув прямо в лицо своим 'российским друзьям'. Потому что это внутреннее дело Армении.</w:t>
            </w:r>
            <w:r w:rsidR="003B6CA1" w:rsidRPr="00A2019B">
              <w:rPr>
                <w:sz w:val="14"/>
                <w:szCs w:val="14"/>
                <w:lang w:val="ru-RU"/>
              </w:rPr>
              <w:t xml:space="preserve"> </w:t>
            </w:r>
            <w:r w:rsidRPr="00A2019B">
              <w:rPr>
                <w:sz w:val="14"/>
                <w:szCs w:val="14"/>
                <w:lang w:val="ru-RU"/>
              </w:rPr>
              <w:t>Вы наводнили страну антироссийскими НКО, которые на вашей территории обучают молодежь, как свергать власть в России. Вы стали плацдармом антироссийских сил на Кавказе. Потому что это внутреннее дело Армении.</w:t>
            </w:r>
            <w:r w:rsidR="003B6CA1" w:rsidRPr="00A2019B">
              <w:rPr>
                <w:sz w:val="14"/>
                <w:szCs w:val="14"/>
                <w:lang w:val="ru-RU"/>
              </w:rPr>
              <w:t xml:space="preserve"> </w:t>
            </w:r>
            <w:r w:rsidRPr="00A2019B">
              <w:rPr>
                <w:sz w:val="14"/>
                <w:szCs w:val="14"/>
                <w:lang w:val="ru-RU"/>
              </w:rPr>
              <w:t>Вы выгнали российских бизнесменов-армян. Вы не хотите у себя ничего, что связано с Россией. Потому что это внутреннее дело Армении.</w:t>
            </w:r>
            <w:r w:rsidR="003B6CA1" w:rsidRPr="00A2019B">
              <w:rPr>
                <w:sz w:val="14"/>
                <w:szCs w:val="14"/>
                <w:lang w:val="ru-RU"/>
              </w:rPr>
              <w:t xml:space="preserve"> </w:t>
            </w:r>
            <w:r w:rsidRPr="00A2019B">
              <w:rPr>
                <w:sz w:val="14"/>
                <w:szCs w:val="14"/>
                <w:lang w:val="ru-RU"/>
              </w:rPr>
              <w:t>Ваши медиа и соцсети ежечасно поливают помоями Россию, Путина, всех, кто поддерживает Путина, — особенно русских армян (например, меня). Вы разделили несчастный, и без того исчезающий армянский народ на врагов — русских армян — и 'настоящих' — тех, кто поддерживает вашу сиюминутную власть. Потому что это внутреннее дело Армении.</w:t>
            </w:r>
            <w:r w:rsidR="00DE2358" w:rsidRPr="00A2019B">
              <w:rPr>
                <w:sz w:val="14"/>
                <w:szCs w:val="14"/>
                <w:lang w:val="ru-RU"/>
              </w:rPr>
              <w:t xml:space="preserve"> </w:t>
            </w:r>
            <w:r w:rsidRPr="00A2019B">
              <w:rPr>
                <w:sz w:val="14"/>
                <w:szCs w:val="14"/>
                <w:lang w:val="ru-RU"/>
              </w:rPr>
              <w:t>А теперь, когда на вашей границе война, когда само существование вашего режима под угрозой, когда армяне всего мира уже видят ожившие призраки янычар с кривыми ножами, которыми резали наших предков, вы вспомнили, что Россия снова должна вас спасать.</w:t>
            </w:r>
            <w:r w:rsidR="00DE2358" w:rsidRPr="00A2019B">
              <w:rPr>
                <w:sz w:val="14"/>
                <w:szCs w:val="14"/>
                <w:lang w:val="ru-RU"/>
              </w:rPr>
              <w:t xml:space="preserve"> </w:t>
            </w:r>
            <w:r w:rsidRPr="00A2019B">
              <w:rPr>
                <w:sz w:val="14"/>
                <w:szCs w:val="14"/>
                <w:lang w:val="ru-RU"/>
              </w:rPr>
              <w:t>Разве это не внутреннее дело Армении?</w:t>
            </w:r>
            <w:r w:rsidR="00DE2358" w:rsidRPr="00A2019B">
              <w:rPr>
                <w:sz w:val="14"/>
                <w:szCs w:val="14"/>
                <w:lang w:val="ru-RU"/>
              </w:rPr>
              <w:t xml:space="preserve"> </w:t>
            </w:r>
            <w:r w:rsidRPr="00A2019B">
              <w:rPr>
                <w:sz w:val="14"/>
                <w:szCs w:val="14"/>
                <w:lang w:val="ru-RU"/>
              </w:rPr>
              <w:t>После всего зла и захлебывающегося презрения, которое вы проявляли к России в последние годы, ваши информационные войска и вы сами считаете себя вправе ждать помощи?</w:t>
            </w:r>
            <w:r w:rsidR="00DE2358" w:rsidRPr="00A2019B">
              <w:rPr>
                <w:sz w:val="14"/>
                <w:szCs w:val="14"/>
                <w:lang w:val="ru-RU"/>
              </w:rPr>
              <w:t xml:space="preserve"> </w:t>
            </w:r>
            <w:r w:rsidRPr="00A2019B">
              <w:rPr>
                <w:sz w:val="14"/>
                <w:szCs w:val="14"/>
                <w:lang w:val="ru-RU"/>
              </w:rPr>
              <w:t>На самом деле, после всего, что вы сделали, Россия имеет полное моральное право плюнуть на вас и растереть.</w:t>
            </w:r>
            <w:r w:rsidR="00DE2358" w:rsidRPr="00A2019B">
              <w:rPr>
                <w:sz w:val="14"/>
                <w:szCs w:val="14"/>
                <w:lang w:val="ru-RU"/>
              </w:rPr>
              <w:t xml:space="preserve"> </w:t>
            </w:r>
            <w:r w:rsidRPr="00A2019B">
              <w:rPr>
                <w:sz w:val="14"/>
                <w:szCs w:val="14"/>
                <w:lang w:val="ru-RU"/>
              </w:rPr>
              <w:t>Но она так не поступит. Я уверена. Поможет и в этот раз.</w:t>
            </w:r>
            <w:r w:rsidR="00DE2358" w:rsidRPr="00A2019B">
              <w:rPr>
                <w:sz w:val="14"/>
                <w:szCs w:val="14"/>
                <w:lang w:val="ru-RU"/>
              </w:rPr>
              <w:t xml:space="preserve"> </w:t>
            </w:r>
            <w:r w:rsidRPr="00A2019B">
              <w:rPr>
                <w:sz w:val="14"/>
                <w:szCs w:val="14"/>
                <w:lang w:val="ru-RU"/>
              </w:rPr>
              <w:t>Потому что Россия — такая. Великодушная и благородная, Родина моя, ненаглядная.</w:t>
            </w:r>
            <w:r w:rsidR="00DE2358" w:rsidRPr="00A2019B">
              <w:rPr>
                <w:sz w:val="14"/>
                <w:szCs w:val="14"/>
                <w:lang w:val="ru-RU"/>
              </w:rPr>
              <w:t xml:space="preserve"> </w:t>
            </w:r>
            <w:r w:rsidRPr="00A2019B">
              <w:rPr>
                <w:sz w:val="14"/>
                <w:szCs w:val="14"/>
                <w:lang w:val="ru-RU"/>
              </w:rPr>
              <w:t>А вы — просто горстка вопящих политиканов, предавших интересы великого армянского народа ради минуты власти и мелкой личной мести.</w:t>
            </w:r>
            <w:r w:rsidR="00DE2358" w:rsidRPr="00A2019B">
              <w:rPr>
                <w:sz w:val="14"/>
                <w:szCs w:val="14"/>
                <w:lang w:val="ru-RU"/>
              </w:rPr>
              <w:t xml:space="preserve"> </w:t>
            </w:r>
            <w:r w:rsidRPr="00A2019B">
              <w:rPr>
                <w:sz w:val="14"/>
                <w:szCs w:val="14"/>
                <w:lang w:val="ru-RU"/>
              </w:rPr>
              <w:t>Почитайте на ночь Нарекаци. Может, проснутся у вас остатки знаменитой армянской совестливости и умения ценить добро.</w:t>
            </w:r>
            <w:r w:rsidR="00DE2358" w:rsidRPr="00A2019B">
              <w:rPr>
                <w:sz w:val="14"/>
                <w:szCs w:val="14"/>
                <w:lang w:val="ru-RU"/>
              </w:rPr>
              <w:t xml:space="preserve"> </w:t>
            </w:r>
            <w:r w:rsidRPr="00A2019B">
              <w:rPr>
                <w:sz w:val="14"/>
                <w:szCs w:val="14"/>
                <w:lang w:val="ru-RU"/>
              </w:rPr>
              <w:t>Если нет у вас Нарекаци — так я передам. У меня на тумбочке лежит.</w:t>
            </w:r>
            <w:r w:rsidR="00DE2358" w:rsidRPr="00A2019B">
              <w:rPr>
                <w:sz w:val="14"/>
                <w:szCs w:val="14"/>
                <w:lang w:val="ru-RU"/>
              </w:rPr>
              <w:t xml:space="preserve"> </w:t>
            </w:r>
            <w:r w:rsidRPr="00A2019B">
              <w:rPr>
                <w:sz w:val="14"/>
                <w:szCs w:val="14"/>
                <w:lang w:val="ru-RU"/>
              </w:rPr>
              <w:t xml:space="preserve">А по поводу войны обеим сторонам я скажу только одно: остановитесь! Хуже войны нет ничего. Я это на своей шкуре знаю. </w:t>
            </w:r>
            <w:r w:rsidRPr="00A2019B">
              <w:rPr>
                <w:sz w:val="14"/>
                <w:szCs w:val="14"/>
              </w:rPr>
              <w:t>Просто остановитесь, пока не поздно</w:t>
            </w:r>
          </w:p>
        </w:tc>
      </w:tr>
      <w:tr w:rsidR="00A2019B" w:rsidRPr="00355242" w14:paraId="7FAD3755" w14:textId="77777777" w:rsidTr="00A2019B">
        <w:trPr>
          <w:trHeight w:val="300"/>
          <w:jc w:val="center"/>
        </w:trPr>
        <w:tc>
          <w:tcPr>
            <w:tcW w:w="639" w:type="dxa"/>
          </w:tcPr>
          <w:p w14:paraId="70A00F00" w14:textId="77777777" w:rsidR="00B2423C" w:rsidRPr="00A2019B" w:rsidRDefault="00B2423C" w:rsidP="00EB2D0C">
            <w:pPr>
              <w:ind w:firstLine="0"/>
              <w:jc w:val="center"/>
              <w:rPr>
                <w:b/>
                <w:sz w:val="14"/>
                <w:szCs w:val="14"/>
              </w:rPr>
            </w:pPr>
            <w:r w:rsidRPr="00A2019B">
              <w:rPr>
                <w:b/>
                <w:sz w:val="14"/>
                <w:szCs w:val="14"/>
              </w:rPr>
              <w:t>2022</w:t>
            </w:r>
          </w:p>
        </w:tc>
        <w:tc>
          <w:tcPr>
            <w:tcW w:w="1572" w:type="dxa"/>
          </w:tcPr>
          <w:p w14:paraId="476C6989" w14:textId="77777777" w:rsidR="00B2423C" w:rsidRPr="00A2019B" w:rsidRDefault="00B2423C" w:rsidP="00EB2D0C">
            <w:pPr>
              <w:ind w:firstLine="0"/>
              <w:jc w:val="center"/>
              <w:rPr>
                <w:b/>
                <w:sz w:val="14"/>
                <w:szCs w:val="14"/>
              </w:rPr>
            </w:pPr>
            <w:r w:rsidRPr="00A2019B">
              <w:rPr>
                <w:b/>
                <w:sz w:val="14"/>
                <w:szCs w:val="14"/>
              </w:rPr>
              <w:t>Konstantin Zatulin</w:t>
            </w:r>
          </w:p>
        </w:tc>
        <w:tc>
          <w:tcPr>
            <w:tcW w:w="1350" w:type="dxa"/>
          </w:tcPr>
          <w:p w14:paraId="25199466" w14:textId="140CA9EB" w:rsidR="00B2423C" w:rsidRPr="00A2019B" w:rsidRDefault="00B2423C" w:rsidP="00EB2D0C">
            <w:pPr>
              <w:ind w:firstLine="0"/>
              <w:jc w:val="center"/>
              <w:rPr>
                <w:b/>
                <w:sz w:val="14"/>
                <w:szCs w:val="14"/>
              </w:rPr>
            </w:pPr>
            <w:r w:rsidRPr="00A2019B">
              <w:rPr>
                <w:b/>
                <w:sz w:val="14"/>
                <w:szCs w:val="14"/>
              </w:rPr>
              <w:t>Semi-official/ political figure</w:t>
            </w:r>
          </w:p>
        </w:tc>
        <w:tc>
          <w:tcPr>
            <w:tcW w:w="1690" w:type="dxa"/>
          </w:tcPr>
          <w:p w14:paraId="615EC88C" w14:textId="77777777" w:rsidR="00B2423C" w:rsidRPr="00A2019B" w:rsidRDefault="00B2423C" w:rsidP="00EB2D0C">
            <w:pPr>
              <w:ind w:firstLine="0"/>
              <w:jc w:val="center"/>
              <w:rPr>
                <w:b/>
                <w:sz w:val="14"/>
                <w:szCs w:val="14"/>
              </w:rPr>
            </w:pPr>
            <w:r w:rsidRPr="00A2019B">
              <w:rPr>
                <w:b/>
                <w:sz w:val="14"/>
                <w:szCs w:val="14"/>
              </w:rPr>
              <w:t>Public speech</w:t>
            </w:r>
          </w:p>
        </w:tc>
        <w:tc>
          <w:tcPr>
            <w:tcW w:w="10337" w:type="dxa"/>
          </w:tcPr>
          <w:p w14:paraId="02D6A60F" w14:textId="34F63457" w:rsidR="00B2423C" w:rsidRPr="00A2019B" w:rsidRDefault="00B2423C" w:rsidP="00A2019B">
            <w:pPr>
              <w:jc w:val="center"/>
              <w:rPr>
                <w:sz w:val="14"/>
                <w:szCs w:val="14"/>
                <w:lang w:val="ru-RU"/>
              </w:rPr>
            </w:pPr>
            <w:r w:rsidRPr="00A2019B">
              <w:rPr>
                <w:sz w:val="14"/>
                <w:szCs w:val="14"/>
                <w:lang w:val="ru-RU"/>
              </w:rPr>
              <w:t>Уважаемые друзья, жизнь и смерть идут рядом. И, действительно, в этом году День памяти жертв геноцида армян Османской Турции совпал со Светлым православным Пасхальным Воскресением.</w:t>
            </w:r>
            <w:r w:rsidR="00DE2358" w:rsidRPr="00A2019B">
              <w:rPr>
                <w:sz w:val="14"/>
                <w:szCs w:val="14"/>
                <w:lang w:val="ru-RU"/>
              </w:rPr>
              <w:t xml:space="preserve"> </w:t>
            </w:r>
            <w:r w:rsidRPr="00A2019B">
              <w:rPr>
                <w:sz w:val="14"/>
                <w:szCs w:val="14"/>
                <w:lang w:val="ru-RU"/>
              </w:rPr>
              <w:t>Вы знаете, я должен отдать должное Союзу армян. Он никогда не забывал собирать нас и приглашать 24 апреля на поминальные мероприятия. Не всегда я мог, по тем или иным причинам, принять участие. Но сегодня считал своим долгом быть здесь и сказать то, что должен. Потому, что армяне под угрозой на Кавказе.</w:t>
            </w:r>
            <w:r w:rsidR="00DE2358" w:rsidRPr="00A2019B">
              <w:rPr>
                <w:sz w:val="14"/>
                <w:szCs w:val="14"/>
                <w:lang w:val="ru-RU"/>
              </w:rPr>
              <w:t xml:space="preserve"> </w:t>
            </w:r>
            <w:r w:rsidRPr="00A2019B">
              <w:rPr>
                <w:sz w:val="14"/>
                <w:szCs w:val="14"/>
                <w:lang w:val="ru-RU"/>
              </w:rPr>
              <w:t>Сегодня выводы которые мы делаем из событий 100-летней давности, как никогда более актуальны для армян, Армении и Нагорного Карабаха – Арцаха. Я думаю, все мы прекрасно понимаем какие угрозы нависли над армянским населением Нагорного Карабаха, которых сегодня защищает российский миротворческий контингент. Я знаю прекрасно тревоги, которые испытывают многие – не только те, кто живут там, на земле Арцаха, но и во всем мире, – о будущем, об армянском населении этой непризнанной Республики. То, что она не признана, не умаляет того факта, что на протяжении всех этих уже десятков лет рождались, входили в жизнь, уходили из жизни люди, которые верили в будущее этой земли, верили в то, что права армянского народа на исторической родине будут соблюдены. И вспоминая сегодня о геноцида, соболезнуя, склоняя голову, как и все мы, перед памятью жертв этого геноцида, я меньше всего хотел бы каких-либо повторений. В больших или маленьких масштабах, не важно. Я считаю, что армяне, живущие в России, вправе беспокоиться и добиваться того, чтобы мы все вместе в России, взяв на себя ответственность за судьбу армянского населения в Нагорном Карабахе, и дальше продолжали нести эту ответственность.</w:t>
            </w:r>
            <w:r w:rsidR="00DE2358" w:rsidRPr="00A2019B">
              <w:rPr>
                <w:sz w:val="14"/>
                <w:szCs w:val="14"/>
                <w:lang w:val="ru-RU"/>
              </w:rPr>
              <w:t xml:space="preserve"> </w:t>
            </w:r>
            <w:r w:rsidRPr="00A2019B">
              <w:rPr>
                <w:sz w:val="14"/>
                <w:szCs w:val="14"/>
                <w:lang w:val="ru-RU"/>
              </w:rPr>
              <w:t>Я не хочу сейчас политизировать свое выступление, раздавать оценки. У меня есть свое мнение о том, что происходит в Армении, как стало возможным в этой ситуации обсуждать – нужен статус Нагорному Карабаху или нет. Я считаю, что точка зрения России о необходимости такого статуса остается прежней. Существует Минская группа, в которой мы выражали эту точку зрения. Если по причинам, далеким от Кавказа и событий в этом регионе, из-за Украины мы сегодня находимся в жесткой конфронтации со странами, которые входят в эту Минскую группу – Францией, Соединенными Штатами, – это не значит, что слово, которое мы дали, не должно быть сдержано.</w:t>
            </w:r>
            <w:r w:rsidR="00DE2358" w:rsidRPr="00A2019B">
              <w:rPr>
                <w:sz w:val="14"/>
                <w:szCs w:val="14"/>
                <w:lang w:val="ru-RU"/>
              </w:rPr>
              <w:t xml:space="preserve"> </w:t>
            </w:r>
            <w:r w:rsidRPr="00A2019B">
              <w:rPr>
                <w:sz w:val="14"/>
                <w:szCs w:val="14"/>
                <w:lang w:val="ru-RU"/>
              </w:rPr>
              <w:t>Я привык уважать свое правительство, свою страну, гордиться ею. И считаю, что справедливость – это самое высокое и самое главное, что во всех случаях руководит действиями русских людей, где бы они не жили. Ради справедливости они жертвуют сегодня, в том числе в ходе этой специальной военной операции на Украине. Потому что исходят из того, что справедливость оказалась под угрозой. И кто бы что не говорил, кто бы каким образом себя не вел, я считаю, что мы должны, прежде всего, помня о прошлом, помня о трагедии геноцида, сделать так, чтобы в будущем, еще раз повторю, в каких бы то ни было масштабах, все это не повторилось.</w:t>
            </w:r>
            <w:r w:rsidR="00DE2358" w:rsidRPr="00A2019B">
              <w:rPr>
                <w:sz w:val="14"/>
                <w:szCs w:val="14"/>
                <w:lang w:val="ru-RU"/>
              </w:rPr>
              <w:t xml:space="preserve"> </w:t>
            </w:r>
            <w:r w:rsidRPr="00A2019B">
              <w:rPr>
                <w:sz w:val="14"/>
                <w:szCs w:val="14"/>
                <w:lang w:val="ru-RU"/>
              </w:rPr>
              <w:t>Я считаю, что мы должны обратить сегодня главное внимание на поддержку Армении и, прежде всего, я бы сказал, армян, которые живут сегодня под дамокловым мечом, но под охраной российского миротворческого контингента в Нагорном Карабахе. Потому что это осколок того, что произошло в 1915 году, если вдуматься. Еще раз хочу выразить свои самые искренние чувства по поводу даты, 24 апреля 1915 года.</w:t>
            </w:r>
          </w:p>
        </w:tc>
      </w:tr>
      <w:tr w:rsidR="00A2019B" w:rsidRPr="00355242" w14:paraId="2BFF0952" w14:textId="77777777" w:rsidTr="00A2019B">
        <w:trPr>
          <w:trHeight w:val="300"/>
          <w:jc w:val="center"/>
        </w:trPr>
        <w:tc>
          <w:tcPr>
            <w:tcW w:w="639" w:type="dxa"/>
          </w:tcPr>
          <w:p w14:paraId="3330A654" w14:textId="77777777" w:rsidR="00B2423C" w:rsidRPr="00A2019B" w:rsidRDefault="00B2423C" w:rsidP="00EB2D0C">
            <w:pPr>
              <w:ind w:firstLine="0"/>
              <w:jc w:val="center"/>
              <w:rPr>
                <w:b/>
                <w:sz w:val="14"/>
                <w:szCs w:val="14"/>
              </w:rPr>
            </w:pPr>
            <w:r w:rsidRPr="00A2019B">
              <w:rPr>
                <w:b/>
                <w:sz w:val="14"/>
                <w:szCs w:val="14"/>
              </w:rPr>
              <w:t>2022</w:t>
            </w:r>
          </w:p>
        </w:tc>
        <w:tc>
          <w:tcPr>
            <w:tcW w:w="1572" w:type="dxa"/>
          </w:tcPr>
          <w:p w14:paraId="6C69A507" w14:textId="77777777" w:rsidR="00B2423C" w:rsidRPr="00A2019B" w:rsidRDefault="00B2423C" w:rsidP="00EB2D0C">
            <w:pPr>
              <w:ind w:firstLine="0"/>
              <w:jc w:val="center"/>
              <w:rPr>
                <w:b/>
                <w:sz w:val="14"/>
                <w:szCs w:val="14"/>
              </w:rPr>
            </w:pPr>
            <w:r w:rsidRPr="00A2019B">
              <w:rPr>
                <w:b/>
                <w:sz w:val="14"/>
                <w:szCs w:val="14"/>
              </w:rPr>
              <w:t>Vladimir Putin</w:t>
            </w:r>
          </w:p>
        </w:tc>
        <w:tc>
          <w:tcPr>
            <w:tcW w:w="1350" w:type="dxa"/>
          </w:tcPr>
          <w:p w14:paraId="2BECE672" w14:textId="77777777" w:rsidR="00B2423C" w:rsidRPr="00A2019B" w:rsidRDefault="00B2423C" w:rsidP="00EB2D0C">
            <w:pPr>
              <w:ind w:firstLine="0"/>
              <w:jc w:val="center"/>
              <w:rPr>
                <w:b/>
                <w:sz w:val="14"/>
                <w:szCs w:val="14"/>
              </w:rPr>
            </w:pPr>
            <w:r w:rsidRPr="00A2019B">
              <w:rPr>
                <w:b/>
                <w:sz w:val="14"/>
                <w:szCs w:val="14"/>
              </w:rPr>
              <w:t>Official</w:t>
            </w:r>
          </w:p>
        </w:tc>
        <w:tc>
          <w:tcPr>
            <w:tcW w:w="1690" w:type="dxa"/>
          </w:tcPr>
          <w:p w14:paraId="3A516248" w14:textId="77777777" w:rsidR="00B2423C" w:rsidRPr="00A2019B" w:rsidRDefault="00B2423C" w:rsidP="00EB2D0C">
            <w:pPr>
              <w:ind w:firstLine="0"/>
              <w:jc w:val="center"/>
              <w:rPr>
                <w:b/>
                <w:sz w:val="14"/>
                <w:szCs w:val="14"/>
              </w:rPr>
            </w:pPr>
            <w:r w:rsidRPr="00A2019B">
              <w:rPr>
                <w:b/>
                <w:sz w:val="14"/>
                <w:szCs w:val="14"/>
              </w:rPr>
              <w:t>Interview at TASS</w:t>
            </w:r>
          </w:p>
        </w:tc>
        <w:tc>
          <w:tcPr>
            <w:tcW w:w="10337" w:type="dxa"/>
          </w:tcPr>
          <w:p w14:paraId="02FC8175" w14:textId="368E3ED6" w:rsidR="00B2423C" w:rsidRPr="00A2019B" w:rsidRDefault="00B2423C" w:rsidP="00A2019B">
            <w:pPr>
              <w:jc w:val="center"/>
              <w:rPr>
                <w:sz w:val="14"/>
                <w:szCs w:val="14"/>
                <w:lang w:val="ru-RU"/>
              </w:rPr>
            </w:pPr>
            <w:r w:rsidRPr="00A2019B">
              <w:rPr>
                <w:sz w:val="14"/>
                <w:szCs w:val="14"/>
                <w:lang w:val="ru-RU"/>
              </w:rPr>
              <w:t>Россия делает все</w:t>
            </w:r>
            <w:r w:rsidR="00DE2358" w:rsidRPr="00A2019B">
              <w:rPr>
                <w:sz w:val="14"/>
                <w:szCs w:val="14"/>
                <w:lang w:val="ru-RU"/>
              </w:rPr>
              <w:t xml:space="preserve"> </w:t>
            </w:r>
            <w:r w:rsidRPr="00A2019B">
              <w:rPr>
                <w:sz w:val="14"/>
                <w:szCs w:val="14"/>
                <w:lang w:val="ru-RU"/>
              </w:rPr>
              <w:t>можное для комплексного урегулирования</w:t>
            </w:r>
            <w:r w:rsidR="00DE2358" w:rsidRPr="00A2019B">
              <w:rPr>
                <w:sz w:val="14"/>
                <w:szCs w:val="14"/>
                <w:lang w:val="ru-RU"/>
              </w:rPr>
              <w:t xml:space="preserve"> </w:t>
            </w:r>
            <w:r w:rsidRPr="00A2019B">
              <w:rPr>
                <w:sz w:val="14"/>
                <w:szCs w:val="14"/>
                <w:lang w:val="ru-RU"/>
              </w:rPr>
              <w:t>ошений между Арменией и Азербайджаном,</w:t>
            </w:r>
            <w:r w:rsidR="00DE2358" w:rsidRPr="00A2019B">
              <w:rPr>
                <w:sz w:val="14"/>
                <w:szCs w:val="14"/>
                <w:lang w:val="ru-RU"/>
              </w:rPr>
              <w:t xml:space="preserve"> </w:t>
            </w:r>
            <w:r w:rsidRPr="00A2019B">
              <w:rPr>
                <w:sz w:val="14"/>
                <w:szCs w:val="14"/>
                <w:lang w:val="ru-RU"/>
              </w:rPr>
              <w:t>вил президент РФ Владимир Путин, выступая в</w:t>
            </w:r>
            <w:r w:rsidR="00DE2358" w:rsidRPr="00A2019B">
              <w:rPr>
                <w:sz w:val="14"/>
                <w:szCs w:val="14"/>
                <w:lang w:val="ru-RU"/>
              </w:rPr>
              <w:t xml:space="preserve"> </w:t>
            </w:r>
            <w:r w:rsidRPr="00A2019B">
              <w:rPr>
                <w:sz w:val="14"/>
                <w:szCs w:val="14"/>
                <w:lang w:val="ru-RU"/>
              </w:rPr>
              <w:t>ницу на внеочередной сессии Совета</w:t>
            </w:r>
            <w:r w:rsidR="00DE2358" w:rsidRPr="00A2019B">
              <w:rPr>
                <w:sz w:val="14"/>
                <w:szCs w:val="14"/>
                <w:lang w:val="ru-RU"/>
              </w:rPr>
              <w:t xml:space="preserve"> </w:t>
            </w:r>
            <w:r w:rsidRPr="00A2019B">
              <w:rPr>
                <w:sz w:val="14"/>
                <w:szCs w:val="14"/>
                <w:lang w:val="ru-RU"/>
              </w:rPr>
              <w:t>лективной безопасности ОДКБ.</w:t>
            </w:r>
            <w:r w:rsidR="00DE2358" w:rsidRPr="00A2019B">
              <w:rPr>
                <w:sz w:val="14"/>
                <w:szCs w:val="14"/>
                <w:lang w:val="ru-RU"/>
              </w:rPr>
              <w:t xml:space="preserve"> </w:t>
            </w:r>
            <w:r w:rsidRPr="00A2019B">
              <w:rPr>
                <w:sz w:val="14"/>
                <w:szCs w:val="14"/>
                <w:lang w:val="ru-RU"/>
              </w:rPr>
              <w:t>о касается армяно-азербайджанского</w:t>
            </w:r>
            <w:r w:rsidR="00DE2358" w:rsidRPr="00A2019B">
              <w:rPr>
                <w:sz w:val="14"/>
                <w:szCs w:val="14"/>
                <w:lang w:val="ru-RU"/>
              </w:rPr>
              <w:t xml:space="preserve"> </w:t>
            </w:r>
            <w:r w:rsidRPr="00A2019B">
              <w:rPr>
                <w:sz w:val="14"/>
                <w:szCs w:val="14"/>
                <w:lang w:val="ru-RU"/>
              </w:rPr>
              <w:t>гулирования, мы и сегодня делаем все</w:t>
            </w:r>
            <w:r w:rsidR="00DE2358" w:rsidRPr="00A2019B">
              <w:rPr>
                <w:sz w:val="14"/>
                <w:szCs w:val="14"/>
                <w:lang w:val="ru-RU"/>
              </w:rPr>
              <w:t xml:space="preserve"> </w:t>
            </w:r>
            <w:r w:rsidRPr="00A2019B">
              <w:rPr>
                <w:sz w:val="14"/>
                <w:szCs w:val="14"/>
                <w:lang w:val="ru-RU"/>
              </w:rPr>
              <w:t>можное для достижения комплексной и</w:t>
            </w:r>
            <w:r w:rsidR="00DE2358" w:rsidRPr="00A2019B">
              <w:rPr>
                <w:sz w:val="14"/>
                <w:szCs w:val="14"/>
                <w:lang w:val="ru-RU"/>
              </w:rPr>
              <w:t xml:space="preserve"> </w:t>
            </w:r>
            <w:r w:rsidRPr="00A2019B">
              <w:rPr>
                <w:sz w:val="14"/>
                <w:szCs w:val="14"/>
                <w:lang w:val="ru-RU"/>
              </w:rPr>
              <w:t>объемлющей нормализации отношений между</w:t>
            </w:r>
            <w:r w:rsidR="00DE2358" w:rsidRPr="00A2019B">
              <w:rPr>
                <w:sz w:val="14"/>
                <w:szCs w:val="14"/>
                <w:lang w:val="ru-RU"/>
              </w:rPr>
              <w:t xml:space="preserve"> </w:t>
            </w:r>
            <w:r w:rsidRPr="00A2019B">
              <w:rPr>
                <w:sz w:val="14"/>
                <w:szCs w:val="14"/>
                <w:lang w:val="ru-RU"/>
              </w:rPr>
              <w:t>у и Ереваном", - отметил российский лидер,</w:t>
            </w:r>
            <w:r w:rsidR="00DE2358" w:rsidRPr="00A2019B">
              <w:rPr>
                <w:sz w:val="14"/>
                <w:szCs w:val="14"/>
                <w:lang w:val="ru-RU"/>
              </w:rPr>
              <w:t xml:space="preserve"> </w:t>
            </w:r>
            <w:r w:rsidRPr="00A2019B">
              <w:rPr>
                <w:sz w:val="14"/>
                <w:szCs w:val="14"/>
                <w:lang w:val="ru-RU"/>
              </w:rPr>
              <w:t>зав на то, что РФ,Азербайджан и Армения в</w:t>
            </w:r>
            <w:r w:rsidR="00DE2358" w:rsidRPr="00A2019B">
              <w:rPr>
                <w:sz w:val="14"/>
                <w:szCs w:val="14"/>
                <w:lang w:val="ru-RU"/>
              </w:rPr>
              <w:t xml:space="preserve"> </w:t>
            </w:r>
            <w:r w:rsidRPr="00A2019B">
              <w:rPr>
                <w:sz w:val="14"/>
                <w:szCs w:val="14"/>
                <w:lang w:val="ru-RU"/>
              </w:rPr>
              <w:t>авнем прошлом входили в состав одного</w:t>
            </w:r>
            <w:r w:rsidR="00A574D6" w:rsidRPr="00A2019B">
              <w:rPr>
                <w:sz w:val="14"/>
                <w:szCs w:val="14"/>
                <w:lang w:val="ru-RU"/>
              </w:rPr>
              <w:t xml:space="preserve"> </w:t>
            </w:r>
            <w:r w:rsidRPr="00A2019B">
              <w:rPr>
                <w:sz w:val="14"/>
                <w:szCs w:val="14"/>
                <w:lang w:val="ru-RU"/>
              </w:rPr>
              <w:t>ударства.</w:t>
            </w:r>
            <w:r w:rsidR="00A574D6" w:rsidRPr="00A2019B">
              <w:rPr>
                <w:sz w:val="14"/>
                <w:szCs w:val="14"/>
                <w:lang w:val="ru-RU"/>
              </w:rPr>
              <w:t xml:space="preserve"> </w:t>
            </w:r>
            <w:r w:rsidRPr="00A2019B">
              <w:rPr>
                <w:sz w:val="14"/>
                <w:szCs w:val="14"/>
                <w:lang w:val="ru-RU"/>
              </w:rPr>
              <w:t>ссия традиционно, если заглянуть в</w:t>
            </w:r>
            <w:r w:rsidR="00DE2358" w:rsidRPr="00A2019B">
              <w:rPr>
                <w:sz w:val="14"/>
                <w:szCs w:val="14"/>
                <w:lang w:val="ru-RU"/>
              </w:rPr>
              <w:t xml:space="preserve"> </w:t>
            </w:r>
            <w:r w:rsidRPr="00A2019B">
              <w:rPr>
                <w:sz w:val="14"/>
                <w:szCs w:val="14"/>
                <w:lang w:val="ru-RU"/>
              </w:rPr>
              <w:t>орическую составляющую, всегда уделяла</w:t>
            </w:r>
            <w:r w:rsidR="00DE2358" w:rsidRPr="00A2019B">
              <w:rPr>
                <w:sz w:val="14"/>
                <w:szCs w:val="14"/>
                <w:lang w:val="ru-RU"/>
              </w:rPr>
              <w:t xml:space="preserve"> </w:t>
            </w:r>
            <w:r w:rsidRPr="00A2019B">
              <w:rPr>
                <w:sz w:val="14"/>
                <w:szCs w:val="14"/>
                <w:lang w:val="ru-RU"/>
              </w:rPr>
              <w:t>мание стабильности на этом направлении и</w:t>
            </w:r>
            <w:r w:rsidR="00DE2358" w:rsidRPr="00A2019B">
              <w:rPr>
                <w:sz w:val="14"/>
                <w:szCs w:val="14"/>
                <w:lang w:val="ru-RU"/>
              </w:rPr>
              <w:t xml:space="preserve"> </w:t>
            </w:r>
            <w:r w:rsidRPr="00A2019B">
              <w:rPr>
                <w:sz w:val="14"/>
                <w:szCs w:val="14"/>
                <w:lang w:val="ru-RU"/>
              </w:rPr>
              <w:t>держивала наших армянских друзей в</w:t>
            </w:r>
            <w:r w:rsidR="00DE2358" w:rsidRPr="00A2019B">
              <w:rPr>
                <w:sz w:val="14"/>
                <w:szCs w:val="14"/>
                <w:lang w:val="ru-RU"/>
              </w:rPr>
              <w:t xml:space="preserve"> </w:t>
            </w:r>
            <w:r w:rsidRPr="00A2019B">
              <w:rPr>
                <w:sz w:val="14"/>
                <w:szCs w:val="14"/>
                <w:lang w:val="ru-RU"/>
              </w:rPr>
              <w:t>спечении безопасности армянского народа", -ентировал внимание Путин.</w:t>
            </w:r>
            <w:r w:rsidR="00DE2358" w:rsidRPr="00A2019B">
              <w:rPr>
                <w:sz w:val="14"/>
                <w:szCs w:val="14"/>
                <w:lang w:val="ru-RU"/>
              </w:rPr>
              <w:t xml:space="preserve"> </w:t>
            </w:r>
            <w:r w:rsidRPr="00A2019B">
              <w:rPr>
                <w:sz w:val="14"/>
                <w:szCs w:val="14"/>
                <w:lang w:val="ru-RU"/>
              </w:rPr>
              <w:t>подчеркнул, что у Москвы огромное количество</w:t>
            </w:r>
            <w:r w:rsidR="00DE2358" w:rsidRPr="00A2019B">
              <w:rPr>
                <w:sz w:val="14"/>
                <w:szCs w:val="14"/>
                <w:lang w:val="ru-RU"/>
              </w:rPr>
              <w:t xml:space="preserve"> </w:t>
            </w:r>
            <w:r w:rsidRPr="00A2019B">
              <w:rPr>
                <w:sz w:val="14"/>
                <w:szCs w:val="14"/>
                <w:lang w:val="ru-RU"/>
              </w:rPr>
              <w:t>зей и с Ереваном, и с Баку."Не учитывать это</w:t>
            </w:r>
            <w:r w:rsidR="00DE2358" w:rsidRPr="00A2019B">
              <w:rPr>
                <w:sz w:val="14"/>
                <w:szCs w:val="14"/>
                <w:lang w:val="ru-RU"/>
              </w:rPr>
              <w:t xml:space="preserve"> </w:t>
            </w:r>
            <w:r w:rsidRPr="00A2019B">
              <w:rPr>
                <w:sz w:val="14"/>
                <w:szCs w:val="14"/>
                <w:lang w:val="ru-RU"/>
              </w:rPr>
              <w:t>сто невозможно. Мы, безусловно, все мы в</w:t>
            </w:r>
            <w:r w:rsidR="00356035" w:rsidRPr="00A2019B">
              <w:rPr>
                <w:sz w:val="14"/>
                <w:szCs w:val="14"/>
                <w:lang w:val="ru-RU"/>
              </w:rPr>
              <w:t xml:space="preserve"> </w:t>
            </w:r>
            <w:r w:rsidRPr="00A2019B">
              <w:rPr>
                <w:sz w:val="14"/>
                <w:szCs w:val="14"/>
                <w:lang w:val="ru-RU"/>
              </w:rPr>
              <w:t>таточно сложном положении. Но мы, конечно,</w:t>
            </w:r>
            <w:r w:rsidR="00356035" w:rsidRPr="00A2019B">
              <w:rPr>
                <w:sz w:val="14"/>
                <w:szCs w:val="14"/>
                <w:lang w:val="ru-RU"/>
              </w:rPr>
              <w:t xml:space="preserve"> </w:t>
            </w:r>
            <w:r w:rsidRPr="00A2019B">
              <w:rPr>
                <w:sz w:val="14"/>
                <w:szCs w:val="14"/>
                <w:lang w:val="ru-RU"/>
              </w:rPr>
              <w:t>можем оставаться в стороне от проблем и</w:t>
            </w:r>
            <w:r w:rsidR="00356035" w:rsidRPr="00A2019B">
              <w:rPr>
                <w:sz w:val="14"/>
                <w:szCs w:val="14"/>
                <w:lang w:val="ru-RU"/>
              </w:rPr>
              <w:t xml:space="preserve"> </w:t>
            </w:r>
            <w:r w:rsidRPr="00A2019B">
              <w:rPr>
                <w:sz w:val="14"/>
                <w:szCs w:val="14"/>
                <w:lang w:val="ru-RU"/>
              </w:rPr>
              <w:t>тиворечий между близкими для России</w:t>
            </w:r>
          </w:p>
        </w:tc>
      </w:tr>
      <w:tr w:rsidR="00A2019B" w:rsidRPr="00355242" w14:paraId="2BF81263" w14:textId="77777777" w:rsidTr="00A2019B">
        <w:trPr>
          <w:trHeight w:val="300"/>
          <w:jc w:val="center"/>
        </w:trPr>
        <w:tc>
          <w:tcPr>
            <w:tcW w:w="639" w:type="dxa"/>
          </w:tcPr>
          <w:p w14:paraId="721561E2" w14:textId="77777777" w:rsidR="00B2423C" w:rsidRPr="00A2019B" w:rsidRDefault="00B2423C" w:rsidP="00EB2D0C">
            <w:pPr>
              <w:ind w:firstLine="0"/>
              <w:jc w:val="center"/>
              <w:rPr>
                <w:b/>
                <w:sz w:val="14"/>
                <w:szCs w:val="14"/>
              </w:rPr>
            </w:pPr>
            <w:r w:rsidRPr="00A2019B">
              <w:rPr>
                <w:b/>
                <w:sz w:val="14"/>
                <w:szCs w:val="14"/>
              </w:rPr>
              <w:t>2023</w:t>
            </w:r>
          </w:p>
        </w:tc>
        <w:tc>
          <w:tcPr>
            <w:tcW w:w="1572" w:type="dxa"/>
          </w:tcPr>
          <w:p w14:paraId="39591CCE" w14:textId="77777777" w:rsidR="00B2423C" w:rsidRPr="00A2019B" w:rsidRDefault="00B2423C" w:rsidP="00EB2D0C">
            <w:pPr>
              <w:ind w:firstLine="0"/>
              <w:jc w:val="center"/>
              <w:rPr>
                <w:b/>
                <w:sz w:val="14"/>
                <w:szCs w:val="14"/>
              </w:rPr>
            </w:pPr>
            <w:r w:rsidRPr="00A2019B">
              <w:rPr>
                <w:b/>
                <w:sz w:val="14"/>
                <w:szCs w:val="14"/>
              </w:rPr>
              <w:t>Konstantin Zatulin</w:t>
            </w:r>
          </w:p>
        </w:tc>
        <w:tc>
          <w:tcPr>
            <w:tcW w:w="1350" w:type="dxa"/>
          </w:tcPr>
          <w:p w14:paraId="2AB2CE7F" w14:textId="072E3DFC" w:rsidR="00B2423C" w:rsidRPr="00A2019B" w:rsidRDefault="00B2423C" w:rsidP="00EB2D0C">
            <w:pPr>
              <w:ind w:firstLine="0"/>
              <w:jc w:val="center"/>
              <w:rPr>
                <w:b/>
                <w:sz w:val="14"/>
                <w:szCs w:val="14"/>
              </w:rPr>
            </w:pPr>
            <w:r w:rsidRPr="00A2019B">
              <w:rPr>
                <w:b/>
                <w:sz w:val="14"/>
                <w:szCs w:val="14"/>
              </w:rPr>
              <w:t>Semi-official/ political figure</w:t>
            </w:r>
          </w:p>
        </w:tc>
        <w:tc>
          <w:tcPr>
            <w:tcW w:w="1690" w:type="dxa"/>
          </w:tcPr>
          <w:p w14:paraId="28A8B8CD" w14:textId="48F3BBF9" w:rsidR="00B2423C" w:rsidRPr="00A2019B" w:rsidRDefault="00B2423C" w:rsidP="00EB2D0C">
            <w:pPr>
              <w:ind w:firstLine="0"/>
              <w:jc w:val="center"/>
              <w:rPr>
                <w:b/>
                <w:sz w:val="14"/>
                <w:szCs w:val="14"/>
              </w:rPr>
            </w:pPr>
            <w:r w:rsidRPr="00A2019B">
              <w:rPr>
                <w:b/>
                <w:sz w:val="14"/>
                <w:szCs w:val="14"/>
              </w:rPr>
              <w:t>Interview</w:t>
            </w:r>
            <w:r w:rsidR="00C94038">
              <w:rPr>
                <w:b/>
                <w:sz w:val="14"/>
                <w:szCs w:val="14"/>
              </w:rPr>
              <w:t xml:space="preserve"> reposted </w:t>
            </w:r>
            <w:r w:rsidRPr="00A2019B">
              <w:rPr>
                <w:b/>
                <w:sz w:val="14"/>
                <w:szCs w:val="14"/>
              </w:rPr>
              <w:t>on Telegram</w:t>
            </w:r>
          </w:p>
        </w:tc>
        <w:tc>
          <w:tcPr>
            <w:tcW w:w="10337" w:type="dxa"/>
          </w:tcPr>
          <w:p w14:paraId="4884DBFB" w14:textId="4C075834" w:rsidR="00B2423C" w:rsidRPr="00A2019B" w:rsidRDefault="00B2423C" w:rsidP="00A2019B">
            <w:pPr>
              <w:jc w:val="center"/>
              <w:rPr>
                <w:sz w:val="14"/>
                <w:szCs w:val="14"/>
                <w:lang w:val="ru-RU"/>
              </w:rPr>
            </w:pPr>
            <w:r w:rsidRPr="00A2019B">
              <w:rPr>
                <w:sz w:val="14"/>
                <w:szCs w:val="14"/>
                <w:lang w:val="ru-RU"/>
              </w:rPr>
              <w:t>Баку стремится «выдавить» всех армян из Нагорного Карабаха, это целенаправленный план, отметил в эфире НСН депутат Константин Затулин.</w:t>
            </w:r>
            <w:r w:rsidR="00356035" w:rsidRPr="00A2019B">
              <w:rPr>
                <w:sz w:val="14"/>
                <w:szCs w:val="14"/>
                <w:lang w:val="ru-RU"/>
              </w:rPr>
              <w:t xml:space="preserve"> </w:t>
            </w:r>
            <w:r w:rsidRPr="00A2019B">
              <w:rPr>
                <w:sz w:val="14"/>
                <w:szCs w:val="14"/>
                <w:lang w:val="ru-RU"/>
              </w:rPr>
              <w:t>Операция Азербайджана в Нагорном Карабахе является элементом геноцида по отношению к армянскому населению, а также прологом к дальнейшему выдавливанию РФ из Кавказа, заявил первый зампред комитета Госдумы по делам СНГ Константин Затулин в интервью НСН.</w:t>
            </w:r>
            <w:r w:rsidR="00356035" w:rsidRPr="00A2019B">
              <w:rPr>
                <w:sz w:val="14"/>
                <w:szCs w:val="14"/>
                <w:lang w:val="ru-RU"/>
              </w:rPr>
              <w:t xml:space="preserve"> </w:t>
            </w:r>
            <w:r w:rsidRPr="00A2019B">
              <w:rPr>
                <w:sz w:val="14"/>
                <w:szCs w:val="14"/>
                <w:lang w:val="ru-RU"/>
              </w:rPr>
              <w:t>Ранее глава пресс-службы Минобороны Азербайджана Анар Эйвазов сообщил, что в ходе операции свыше 60 боевых позиций Вооруженных сил Армении перешли под контроль азербайджанских военных. Он отметил, что армия нейтрализовала до 20 боевых машин, свыше 40 артиллерийских установок и 30 минометов. Затулин считает, что премьер-министр Армении Пашинян хочет, чтобы армяне не вмешивались в происходящее.</w:t>
            </w:r>
            <w:r w:rsidR="00356035" w:rsidRPr="00A2019B">
              <w:rPr>
                <w:sz w:val="14"/>
                <w:szCs w:val="14"/>
                <w:lang w:val="ru-RU"/>
              </w:rPr>
              <w:t xml:space="preserve"> </w:t>
            </w:r>
            <w:r w:rsidRPr="00A2019B">
              <w:rPr>
                <w:sz w:val="14"/>
                <w:szCs w:val="14"/>
                <w:lang w:val="ru-RU"/>
              </w:rPr>
              <w:t>«Мы видим, что правительство Армении бросило своих соотечественников и подготовило почву со своей стороны для того, чтобы операция азербайджанских войск в Карабахе выглядела как внутреннее дело… Не требующее вмешательства со стороны Армении. Лично Пашинян пытается заразить армян в Армении трусостью, чтобы они, думая о самих себе, ни в коем случае не вмешивались в происходящие события. То, что происходит, является не только элементом геноцида по отношению к армянскому населению Нагорного Карабаха, но и, совершенно очевидно, является прологом к дальнейшему выдавливанию РФ из Кавказа», - сказал Затулин.</w:t>
            </w:r>
            <w:r w:rsidR="00356035" w:rsidRPr="00A2019B">
              <w:rPr>
                <w:sz w:val="14"/>
                <w:szCs w:val="14"/>
                <w:lang w:val="ru-RU"/>
              </w:rPr>
              <w:t xml:space="preserve"> </w:t>
            </w:r>
            <w:r w:rsidRPr="00A2019B">
              <w:rPr>
                <w:sz w:val="14"/>
                <w:szCs w:val="14"/>
                <w:lang w:val="ru-RU"/>
              </w:rPr>
              <w:t>Он отметил, что Азербайджан стреляет в Карабахе, однако «попадает в Москву». По словам Затулина, у Армении теперь появились основания для обвинения России в бездействии.</w:t>
            </w:r>
            <w:r w:rsidR="00356035" w:rsidRPr="00A2019B">
              <w:rPr>
                <w:sz w:val="14"/>
                <w:szCs w:val="14"/>
                <w:lang w:val="ru-RU"/>
              </w:rPr>
              <w:t xml:space="preserve"> </w:t>
            </w:r>
            <w:r w:rsidRPr="00A2019B">
              <w:rPr>
                <w:sz w:val="14"/>
                <w:szCs w:val="14"/>
                <w:lang w:val="ru-RU"/>
              </w:rPr>
              <w:t>«Азербайджан стреляет в Карабахе, но попадает в Москву в политическом смысле. Потому что действия Азербайджана в условиях присутствия в Карабахе миротворцев РФ не только угрожают жизни солдат и офицеров этого контингента… Но и становятся основанием для обвинения России в бездействии», - указал собеседник НСН.</w:t>
            </w:r>
            <w:r w:rsidR="00356035" w:rsidRPr="00A2019B">
              <w:rPr>
                <w:sz w:val="14"/>
                <w:szCs w:val="14"/>
                <w:lang w:val="ru-RU"/>
              </w:rPr>
              <w:t xml:space="preserve"> </w:t>
            </w:r>
            <w:r w:rsidRPr="00A2019B">
              <w:rPr>
                <w:sz w:val="14"/>
                <w:szCs w:val="14"/>
                <w:lang w:val="ru-RU"/>
              </w:rPr>
              <w:t>Кроме того, депутат заявил, что от возобновления военных действий в Карабахе у России «нет и не может быть» выгоды. Он подчеркнул, что дальнейшее развитие ситуации в Карабахе будет зависеть от давления, которое Москва должна оказать на Баку.</w:t>
            </w:r>
            <w:r w:rsidR="00356035" w:rsidRPr="00A2019B">
              <w:rPr>
                <w:sz w:val="14"/>
                <w:szCs w:val="14"/>
                <w:lang w:val="ru-RU"/>
              </w:rPr>
              <w:t xml:space="preserve"> </w:t>
            </w:r>
            <w:r w:rsidRPr="00A2019B">
              <w:rPr>
                <w:sz w:val="14"/>
                <w:szCs w:val="14"/>
                <w:lang w:val="ru-RU"/>
              </w:rPr>
              <w:t>«Прежде всего, не в наших интересах возобновление военных действий. Никакой выгоды в том, что Азербайджан перешел к военным действиям, у РФ нет и быть не может. Люди в России, которые утверждают обратное, либо глупые, либо предатели по отношению к собственной стране. Что касается дальнейшего… То все будет зависеть от степени настойчивости российской стороны и того давления, которое мы должны оказать на Азербайджан, чтобы он прекратил военные действия. К сожалению, впечатление, что Азербайджан взорвался. И это не просто вспышка в зоне бывших военных действий, а целенаправленный план по выдавливанию армян из Карабаха вообще», - резюмировал Затулин.</w:t>
            </w:r>
          </w:p>
        </w:tc>
      </w:tr>
      <w:tr w:rsidR="00A2019B" w:rsidRPr="00355242" w14:paraId="7B5673B7" w14:textId="77777777" w:rsidTr="00A2019B">
        <w:trPr>
          <w:trHeight w:val="300"/>
          <w:jc w:val="center"/>
        </w:trPr>
        <w:tc>
          <w:tcPr>
            <w:tcW w:w="639" w:type="dxa"/>
          </w:tcPr>
          <w:p w14:paraId="66E63083" w14:textId="77777777" w:rsidR="00B2423C" w:rsidRPr="00A2019B" w:rsidRDefault="00B2423C" w:rsidP="00EB2D0C">
            <w:pPr>
              <w:ind w:firstLine="0"/>
              <w:jc w:val="center"/>
              <w:rPr>
                <w:b/>
                <w:sz w:val="14"/>
                <w:szCs w:val="14"/>
              </w:rPr>
            </w:pPr>
            <w:r w:rsidRPr="00A2019B">
              <w:rPr>
                <w:b/>
                <w:sz w:val="14"/>
                <w:szCs w:val="14"/>
              </w:rPr>
              <w:t>2023</w:t>
            </w:r>
          </w:p>
        </w:tc>
        <w:tc>
          <w:tcPr>
            <w:tcW w:w="1572" w:type="dxa"/>
          </w:tcPr>
          <w:p w14:paraId="27DFF58C" w14:textId="77777777" w:rsidR="00B2423C" w:rsidRPr="00A2019B" w:rsidRDefault="00B2423C" w:rsidP="00EB2D0C">
            <w:pPr>
              <w:ind w:firstLine="0"/>
              <w:jc w:val="center"/>
              <w:rPr>
                <w:b/>
                <w:sz w:val="14"/>
                <w:szCs w:val="14"/>
              </w:rPr>
            </w:pPr>
            <w:r w:rsidRPr="00A2019B">
              <w:rPr>
                <w:b/>
                <w:sz w:val="14"/>
                <w:szCs w:val="14"/>
              </w:rPr>
              <w:t>Maria Zakharova</w:t>
            </w:r>
          </w:p>
        </w:tc>
        <w:tc>
          <w:tcPr>
            <w:tcW w:w="1350" w:type="dxa"/>
          </w:tcPr>
          <w:p w14:paraId="55DBBB2C" w14:textId="77777777" w:rsidR="00B2423C" w:rsidRPr="00A2019B" w:rsidRDefault="00B2423C" w:rsidP="00EB2D0C">
            <w:pPr>
              <w:ind w:firstLine="0"/>
              <w:jc w:val="center"/>
              <w:rPr>
                <w:b/>
                <w:sz w:val="14"/>
                <w:szCs w:val="14"/>
              </w:rPr>
            </w:pPr>
            <w:r w:rsidRPr="00A2019B">
              <w:rPr>
                <w:b/>
                <w:sz w:val="14"/>
                <w:szCs w:val="14"/>
              </w:rPr>
              <w:t>Official</w:t>
            </w:r>
          </w:p>
        </w:tc>
        <w:tc>
          <w:tcPr>
            <w:tcW w:w="1690" w:type="dxa"/>
          </w:tcPr>
          <w:p w14:paraId="69A8737A" w14:textId="77777777" w:rsidR="00B2423C" w:rsidRPr="00A2019B" w:rsidRDefault="00B2423C" w:rsidP="00EB2D0C">
            <w:pPr>
              <w:ind w:firstLine="0"/>
              <w:jc w:val="center"/>
              <w:rPr>
                <w:b/>
                <w:sz w:val="14"/>
                <w:szCs w:val="14"/>
              </w:rPr>
            </w:pPr>
            <w:r w:rsidRPr="00A2019B">
              <w:rPr>
                <w:b/>
                <w:sz w:val="14"/>
                <w:szCs w:val="14"/>
              </w:rPr>
              <w:t>MFA briefing</w:t>
            </w:r>
          </w:p>
        </w:tc>
        <w:tc>
          <w:tcPr>
            <w:tcW w:w="10337" w:type="dxa"/>
          </w:tcPr>
          <w:p w14:paraId="7FC673D3" w14:textId="1D12882E" w:rsidR="00B2423C" w:rsidRPr="00A2019B" w:rsidRDefault="00B2423C" w:rsidP="00A2019B">
            <w:pPr>
              <w:jc w:val="center"/>
              <w:rPr>
                <w:sz w:val="14"/>
                <w:szCs w:val="14"/>
                <w:lang w:val="ru-RU"/>
              </w:rPr>
            </w:pPr>
            <w:r w:rsidRPr="00A2019B">
              <w:rPr>
                <w:sz w:val="14"/>
                <w:szCs w:val="14"/>
                <w:lang w:val="ru-RU"/>
              </w:rPr>
              <w:t>Мы слышим эти заявления со стороны Еревана, что какая-то зависимость от Москвы или от России не даёт возможность обеспечить безопасность. Всё-таки люди, которые представляют страну, должны ответственно относиться к тем заявлениям, которые делают. Неужели они не знают, какое количество граждан Армении удалось спасти в том числе благодаря действиям Москвы? Разве это не так? Об этом не знают в Армении? Конечно знают. Так почему же это сейчас предается забвению? Всё это было на протяжении десятилетий. Какое количество действительно вспыхнувших обострений в регионе удалось потушить именно и только благодаря действиям Москвы и непосредственно Президента России В.В.Путина. Неужели этого никто не знает в Ереване? Знают. Так почему же они допускают и позволяют себе подобные заявления? Они хотят переписать историю? Не получится, потому что народ хорошо знает свою Армению новейшую и многовековую историю, и о роли нашей страны в судьбе армянского народа и Армении.</w:t>
            </w:r>
            <w:r w:rsidR="00356035" w:rsidRPr="00A2019B">
              <w:rPr>
                <w:sz w:val="14"/>
                <w:szCs w:val="14"/>
                <w:lang w:val="ru-RU"/>
              </w:rPr>
              <w:t xml:space="preserve"> </w:t>
            </w:r>
            <w:r w:rsidRPr="00A2019B">
              <w:rPr>
                <w:sz w:val="14"/>
                <w:szCs w:val="14"/>
                <w:lang w:val="ru-RU"/>
              </w:rPr>
              <w:t>Выражаем сожаление в связи с гибелью армянских военнослужащих в селе Сотк. Призываем стороны воздерживаться от действий, влекущих эскалацию напряженности и тем более человеческие жертвы. Данный трагический инцидент лишний раз подтвердил невысокую эффективность расквартированной в Армении миссии Евросоюза.</w:t>
            </w:r>
            <w:r w:rsidR="00356035" w:rsidRPr="00A2019B">
              <w:rPr>
                <w:sz w:val="14"/>
                <w:szCs w:val="14"/>
                <w:lang w:val="ru-RU"/>
              </w:rPr>
              <w:t xml:space="preserve"> </w:t>
            </w:r>
            <w:r w:rsidRPr="00A2019B">
              <w:rPr>
                <w:sz w:val="14"/>
                <w:szCs w:val="14"/>
                <w:lang w:val="ru-RU"/>
              </w:rPr>
              <w:t>Считаем востребованным проведение регулярной и ритмичной работы по делимитации и демаркации армяно-азербайджанской границы при российском консультативном содействии с одновременной реализацией комплекса мер по укреплению доверия. Выступаем также за размещение в приграничье миссии ОДКБ: здесь «мяч на стороне» Еревана – все остальные страны-члены Организации выразили готовность к этому шагу.</w:t>
            </w:r>
          </w:p>
        </w:tc>
      </w:tr>
      <w:tr w:rsidR="00A2019B" w:rsidRPr="00A2019B" w14:paraId="4FDC240A" w14:textId="77777777" w:rsidTr="00A2019B">
        <w:trPr>
          <w:trHeight w:val="300"/>
          <w:jc w:val="center"/>
        </w:trPr>
        <w:tc>
          <w:tcPr>
            <w:tcW w:w="639" w:type="dxa"/>
          </w:tcPr>
          <w:p w14:paraId="3EA21C4E" w14:textId="77777777" w:rsidR="00B2423C" w:rsidRPr="00A2019B" w:rsidRDefault="00B2423C" w:rsidP="00EB2D0C">
            <w:pPr>
              <w:ind w:firstLine="0"/>
              <w:jc w:val="center"/>
              <w:rPr>
                <w:b/>
                <w:sz w:val="14"/>
                <w:szCs w:val="14"/>
              </w:rPr>
            </w:pPr>
            <w:r w:rsidRPr="00A2019B">
              <w:rPr>
                <w:b/>
                <w:sz w:val="14"/>
                <w:szCs w:val="14"/>
              </w:rPr>
              <w:t>2023</w:t>
            </w:r>
          </w:p>
        </w:tc>
        <w:tc>
          <w:tcPr>
            <w:tcW w:w="1572" w:type="dxa"/>
          </w:tcPr>
          <w:p w14:paraId="6C24BAAB" w14:textId="77777777" w:rsidR="00B2423C" w:rsidRPr="00A2019B" w:rsidRDefault="00B2423C" w:rsidP="00EB2D0C">
            <w:pPr>
              <w:ind w:firstLine="0"/>
              <w:jc w:val="center"/>
              <w:rPr>
                <w:b/>
                <w:sz w:val="14"/>
                <w:szCs w:val="14"/>
              </w:rPr>
            </w:pPr>
            <w:r w:rsidRPr="00A2019B">
              <w:rPr>
                <w:b/>
                <w:sz w:val="14"/>
                <w:szCs w:val="14"/>
              </w:rPr>
              <w:t>Aleksandr Kots</w:t>
            </w:r>
          </w:p>
        </w:tc>
        <w:tc>
          <w:tcPr>
            <w:tcW w:w="1350" w:type="dxa"/>
          </w:tcPr>
          <w:p w14:paraId="7E3AA0CB" w14:textId="2ECEA9B1" w:rsidR="00B2423C" w:rsidRPr="00A2019B" w:rsidRDefault="00B2423C" w:rsidP="00EB2D0C">
            <w:pPr>
              <w:ind w:firstLine="0"/>
              <w:jc w:val="center"/>
              <w:rPr>
                <w:b/>
                <w:sz w:val="14"/>
                <w:szCs w:val="14"/>
              </w:rPr>
            </w:pPr>
            <w:r w:rsidRPr="00A2019B">
              <w:rPr>
                <w:b/>
                <w:sz w:val="14"/>
                <w:szCs w:val="14"/>
              </w:rPr>
              <w:t>Semi-official/ war correspondent</w:t>
            </w:r>
          </w:p>
        </w:tc>
        <w:tc>
          <w:tcPr>
            <w:tcW w:w="1690" w:type="dxa"/>
          </w:tcPr>
          <w:p w14:paraId="2A377E63" w14:textId="77777777" w:rsidR="00B2423C" w:rsidRPr="00A2019B" w:rsidRDefault="00B2423C" w:rsidP="00EB2D0C">
            <w:pPr>
              <w:ind w:firstLine="0"/>
              <w:jc w:val="center"/>
              <w:rPr>
                <w:b/>
                <w:sz w:val="14"/>
                <w:szCs w:val="14"/>
              </w:rPr>
            </w:pPr>
            <w:r w:rsidRPr="00A2019B">
              <w:rPr>
                <w:b/>
                <w:sz w:val="14"/>
                <w:szCs w:val="14"/>
              </w:rPr>
              <w:t>Telegram post</w:t>
            </w:r>
          </w:p>
        </w:tc>
        <w:tc>
          <w:tcPr>
            <w:tcW w:w="10337" w:type="dxa"/>
          </w:tcPr>
          <w:p w14:paraId="754E172E" w14:textId="54740B34" w:rsidR="00B2423C" w:rsidRPr="00A2019B" w:rsidRDefault="00B2423C" w:rsidP="00A2019B">
            <w:pPr>
              <w:jc w:val="center"/>
              <w:rPr>
                <w:sz w:val="14"/>
                <w:szCs w:val="14"/>
                <w:lang w:val="ru-RU"/>
              </w:rPr>
            </w:pPr>
            <w:r w:rsidRPr="00A2019B">
              <w:rPr>
                <w:sz w:val="14"/>
                <w:szCs w:val="14"/>
                <w:lang w:val="ru-RU"/>
              </w:rPr>
              <w:t>риветствую. Я сегодня опять в дороге. Неделя была довольно насыщенная на события. Основное событие этой недели – Закавказье. Это первая программа, которую мы начинаем не с новостей из зоны СВО. Сегодня мы поговорим о том, что произошло в Нагорном Карабахе, чем это чревато, в том числе и для Российской Федерации.</w:t>
            </w:r>
            <w:r w:rsidR="00356035" w:rsidRPr="00A2019B">
              <w:rPr>
                <w:sz w:val="14"/>
                <w:szCs w:val="14"/>
                <w:lang w:val="ru-RU"/>
              </w:rPr>
              <w:t xml:space="preserve"> </w:t>
            </w:r>
            <w:r w:rsidRPr="00A2019B">
              <w:rPr>
                <w:sz w:val="14"/>
                <w:szCs w:val="14"/>
                <w:lang w:val="ru-RU"/>
              </w:rPr>
              <w:t>На этой неделе Баку официально объявил о начале локальной контртеррористической операции на территории Нагорного Карабаха, на территории, которую контролирует армия обороны Арцаха, как здесь называют этот регион. Когда была объявлена эта операция, лично у меня не было никаких иллюзий по поводу границ этой операции. Я почему-то сразу понял, что это конец Карабаха как непризнанного государства, которое варится само в себе.</w:t>
            </w:r>
            <w:r w:rsidR="00356035" w:rsidRPr="00A2019B">
              <w:rPr>
                <w:sz w:val="14"/>
                <w:szCs w:val="14"/>
                <w:lang w:val="ru-RU"/>
              </w:rPr>
              <w:t xml:space="preserve"> </w:t>
            </w:r>
            <w:r w:rsidRPr="00A2019B">
              <w:rPr>
                <w:sz w:val="14"/>
                <w:szCs w:val="14"/>
                <w:lang w:val="ru-RU"/>
              </w:rPr>
              <w:t>Три года назад я освещал события второй карабахской войны, когда азербайджанским силам удалось занять значительные территории, которые контролировали армяне. Я видел армянскую армию, которая фактически бежала, отступала, в бой вступали в основном силы ополчения и армия обороны Арцаха. Но в итоге азербайджанцам удалось дойти до города Шуши, это город-спутник Степанакерта – столицы Арцаха, который возвышается фактически над Степанакертом. Когда этот город был занят, мне почему-то еще три года назад показалось, что падение полностью всего Карабаха – это вопрос времени. Азербайджан тридцать лет последовательно шел к достижению своей цели и достиг ее. И это стало возможно не только благодаря военному превосходству Азербайджана. Хотя не без этого, безусловно. Потому что после 1992 года, когда армяне победили, они почивали на лаврах, они обсуждали этот героический эпос, как они надавали лещей азербайджанцам.</w:t>
            </w:r>
            <w:r w:rsidR="00356035" w:rsidRPr="00A2019B">
              <w:rPr>
                <w:sz w:val="14"/>
                <w:szCs w:val="14"/>
                <w:lang w:val="ru-RU"/>
              </w:rPr>
              <w:t xml:space="preserve"> </w:t>
            </w:r>
            <w:r w:rsidRPr="00A2019B">
              <w:rPr>
                <w:sz w:val="14"/>
                <w:szCs w:val="14"/>
                <w:lang w:val="ru-RU"/>
              </w:rPr>
              <w:t xml:space="preserve">Азербайджанцы все эти годы готовились отвоевывать территории. Совершенствовались в плане тактики, в плане стратегии, закупали вооружения. Три года назад, например, азербайджанцы в Карабахе показали применение ударных беспилотников. Это были в основном израильские </w:t>
            </w:r>
            <w:r w:rsidRPr="00A2019B">
              <w:rPr>
                <w:sz w:val="14"/>
                <w:szCs w:val="14"/>
              </w:rPr>
              <w:t>Harop</w:t>
            </w:r>
            <w:r w:rsidRPr="00A2019B">
              <w:rPr>
                <w:sz w:val="14"/>
                <w:szCs w:val="14"/>
                <w:lang w:val="ru-RU"/>
              </w:rPr>
              <w:t xml:space="preserve">, тем не менее, они показали свою эффективность. Тогда же применялись турецкие </w:t>
            </w:r>
            <w:r w:rsidRPr="00A2019B">
              <w:rPr>
                <w:sz w:val="14"/>
                <w:szCs w:val="14"/>
              </w:rPr>
              <w:t>Bayraktar</w:t>
            </w:r>
            <w:r w:rsidRPr="00A2019B">
              <w:rPr>
                <w:sz w:val="14"/>
                <w:szCs w:val="14"/>
                <w:lang w:val="ru-RU"/>
              </w:rPr>
              <w:t>, довольно быстро была выбита система ПВО Карабаха. И дальше уже расстреливали как в тире.</w:t>
            </w:r>
            <w:r w:rsidR="00356035" w:rsidRPr="00A2019B">
              <w:rPr>
                <w:sz w:val="14"/>
                <w:szCs w:val="14"/>
                <w:lang w:val="ru-RU"/>
              </w:rPr>
              <w:t xml:space="preserve"> </w:t>
            </w:r>
            <w:r w:rsidRPr="00A2019B">
              <w:rPr>
                <w:sz w:val="14"/>
                <w:szCs w:val="14"/>
                <w:lang w:val="ru-RU"/>
              </w:rPr>
              <w:t>Нынешний конфликт суточный произошел почему? Повод для военных действий был номинальный. Азербайджан обвинил Армению в том, что они укрепляют свои позиции, подвозят боеприпасы, увеличивают количество техники, минируют территорию перед собой, в результате чего страдают гражданские и военные. Это стало достаточным поводом для того, чтобы объявить операцию. Причем Баку заявил, что Россия была заблаговременно проинформирована об этой операции. Но на самом деле информирование произошло за несколько минут до ее начала. Никого предупредить мы уже не успевали. И в течение суток Баку просто наносил точечные удары по объектам армии обороны Нагорного Карабаха. С безопасного расстояния методично выбивая системы ПВО, РЭБ, артиллерию, укрепления. В итоге к исходу вторника азербайджанцы уже явно обозначили переход к наземной фазе своих локальных мероприятий.</w:t>
            </w:r>
            <w:r w:rsidR="00356035" w:rsidRPr="00A2019B">
              <w:rPr>
                <w:sz w:val="14"/>
                <w:szCs w:val="14"/>
                <w:lang w:val="ru-RU"/>
              </w:rPr>
              <w:t xml:space="preserve"> </w:t>
            </w:r>
            <w:r w:rsidRPr="00A2019B">
              <w:rPr>
                <w:sz w:val="14"/>
                <w:szCs w:val="14"/>
                <w:lang w:val="ru-RU"/>
              </w:rPr>
              <w:t>На этом фоне была очень показательной реакция официального Еревана, который очень долго молчал, собирался с мыслями. А в итоге сказал, что никакого желания участвовать в этом конфликте у Армении нет. Это Пашинян заявлял. Собственно, когда нет сообщения с большой Арменией, а его нет, потому что азербайджанцы перекрыли Лачинский коридор, когда у страны нет желания защищать это маленькое непризнанное государство, никаких шансов у Карабаха не было.</w:t>
            </w:r>
            <w:r w:rsidR="00356035" w:rsidRPr="00A2019B">
              <w:rPr>
                <w:sz w:val="14"/>
                <w:szCs w:val="14"/>
                <w:lang w:val="ru-RU"/>
              </w:rPr>
              <w:t xml:space="preserve"> </w:t>
            </w:r>
            <w:r w:rsidRPr="00A2019B">
              <w:rPr>
                <w:sz w:val="14"/>
                <w:szCs w:val="14"/>
                <w:lang w:val="ru-RU"/>
              </w:rPr>
              <w:t>Местные бойцы, конечно, могли драться до последней капли крови. Это настоящие воины, я подтверждаю, зная их. Видел их в деле. И подозреваю, что некоторые подразделения армии обороны Арцаха не захотят подчиняться договоренностям и будут еще биться до конца. Мы еще станем свидетелями таких трагических историй. Мне кажется, это вполне возможно. Но без помощи извне это была бы бойня. И именно поэтому при содействии российских миротворцев, не Блинкена и не Макрона, которого так боготворит Пашинян, было достигнуто соглашение о прекращении огня.</w:t>
            </w:r>
            <w:r w:rsidR="00356035" w:rsidRPr="00A2019B">
              <w:rPr>
                <w:sz w:val="14"/>
                <w:szCs w:val="14"/>
                <w:lang w:val="ru-RU"/>
              </w:rPr>
              <w:t xml:space="preserve"> </w:t>
            </w:r>
            <w:r w:rsidRPr="00A2019B">
              <w:rPr>
                <w:sz w:val="14"/>
                <w:szCs w:val="14"/>
                <w:lang w:val="ru-RU"/>
              </w:rPr>
              <w:t>При этом понятно, что Степанакерту пришлось пойти на условия, которые можно назвать капитуляцией. Это и вывод техники, и полное разоружение. По факту Карабах полностью переходит под контроль и юрисдикцию Азербайджана в качестве одного из него регионов. Почему так произошло? Тут сейчас звучат голоса, которые обвиняют Российскую Федерацию в случившемся, хотя это не регион, граничащий с Россией. Это произошло, потому что нынешние власти Армении решили, судя по всему, пожертвовать Арцахом ради своего нового западного пути. Причем пожертвовали они Арцахом не сейчас, а еще год назад, когда премьер Армении Никол Пашинян во время своего визита в Прагу в присутствии представителей Франции и Евросоюза подписался под тем, что признает границы Азербайджана 1991 года. Все 86 тысяч квадратных километров. А это значит, вместе с Карабахом. То есть он сам признал Карабах частью Азербайджана.</w:t>
            </w:r>
            <w:r w:rsidR="00356035" w:rsidRPr="00A2019B">
              <w:rPr>
                <w:sz w:val="14"/>
                <w:szCs w:val="14"/>
                <w:lang w:val="ru-RU"/>
              </w:rPr>
              <w:t xml:space="preserve"> </w:t>
            </w:r>
            <w:r w:rsidRPr="00A2019B">
              <w:rPr>
                <w:sz w:val="14"/>
                <w:szCs w:val="14"/>
                <w:lang w:val="ru-RU"/>
              </w:rPr>
              <w:t>Он не стал торговаться. Он мог потребовать для региона хотя бы автономии в пределах Азербайджана. Или хотя бы культурной автономии. Просто взял и продал, возложив ответственность за будущее этого многострадального региона, на Россию. Потому что там российские миротворцы, значит, пусть Россия теперь и занимается проблемой карабахских армян. И тут он вдруг удивляется, что с ним не согласовывают дальнейшую судьбу этого региона. Мне кажется, неуместны сейчас претензии к Москве, когда возмущенные армяне проводят акции около российского посольства. Вы у посольства Франции проводите свои акции, у представительства Евросоюза, которые еще год назад подтолкнули Пашиняна к этому решению. Может быть, даже и пообещали чего-то, но потом в итоге кинули.</w:t>
            </w:r>
            <w:r w:rsidR="00356035" w:rsidRPr="00A2019B">
              <w:rPr>
                <w:sz w:val="14"/>
                <w:szCs w:val="14"/>
                <w:lang w:val="ru-RU"/>
              </w:rPr>
              <w:t xml:space="preserve"> </w:t>
            </w:r>
            <w:r w:rsidRPr="00A2019B">
              <w:rPr>
                <w:sz w:val="14"/>
                <w:szCs w:val="14"/>
                <w:lang w:val="ru-RU"/>
              </w:rPr>
              <w:t>Я напомню, что три года назад, когда армяне проиграли азербайджанцам 44-дневную войну, как раз Москва и остановила бойню и усадила все противоборствующие стороны за стол переговоров. Пашинян тогда никакого отрешения от Арцаха не подписывал. А потом поехал почему-то в Европу и там подписал и отрекся. Что там ему пообещали, я не знаю. Но по факту получается, что Азербайджан за эти сутки провел операцию на своей земле, даже не с точки зрения алма-атинских соглашений 1991 года, а с точки зрения официального Еревана, который сам сдал Арцах вместе с его жителями.</w:t>
            </w:r>
            <w:r w:rsidR="00356035" w:rsidRPr="00A2019B">
              <w:rPr>
                <w:sz w:val="14"/>
                <w:szCs w:val="14"/>
                <w:lang w:val="ru-RU"/>
              </w:rPr>
              <w:t xml:space="preserve"> </w:t>
            </w:r>
            <w:r w:rsidRPr="00A2019B">
              <w:rPr>
                <w:sz w:val="14"/>
                <w:szCs w:val="14"/>
                <w:lang w:val="ru-RU"/>
              </w:rPr>
              <w:t>А жителей сегодня эвакуируют, размещают, кормят российские миротворцы. Не американские, не французские, не миротворцы из Евросоюза, а российские. Но это, к сожалению, очень немногое, что мы можем сделать в этой ситуации. Я солидарен абсолютно с этим эмоциональным вопросом. Мне тоже хочется задать такой же эмоциональный вопрос, только я не знаю – куда. Может быть, в пустоту? Потому что убийство наших миротворцев не первое. В 2020 году, напомню, азербайджанскими силами был сбит российский вертолет. Тогда тоже они извинились, они тоже тогда сказали, что они заплатят какую-то там компенсацию родственникам. И осудят тех, кто это совершил.</w:t>
            </w:r>
            <w:r w:rsidR="00356035" w:rsidRPr="00A2019B">
              <w:rPr>
                <w:sz w:val="14"/>
                <w:szCs w:val="14"/>
                <w:lang w:val="ru-RU"/>
              </w:rPr>
              <w:t xml:space="preserve"> </w:t>
            </w:r>
            <w:r w:rsidRPr="00A2019B">
              <w:rPr>
                <w:sz w:val="14"/>
                <w:szCs w:val="14"/>
                <w:lang w:val="ru-RU"/>
              </w:rPr>
              <w:t>Во-первых, я бы сейчас хотел увидеть и узнать, в какой колонии сидят те, кто сбил российский вертолет в 2020 году? Сколько лет им дали? И как они себя чувствуют? Во-вторых, я сегодня хотел бы видеть тех, кто расстрелял российских граждан – миротворцев, в том числе зам. командира нашего контингента там, капитана 1-го ранга, человека, который является подводником, зам. командира Подводных сил Северного флота по военно-политической работе.</w:t>
            </w:r>
            <w:r w:rsidR="00356035" w:rsidRPr="00A2019B">
              <w:rPr>
                <w:sz w:val="14"/>
                <w:szCs w:val="14"/>
                <w:lang w:val="ru-RU"/>
              </w:rPr>
              <w:t xml:space="preserve"> </w:t>
            </w:r>
            <w:r w:rsidRPr="00A2019B">
              <w:rPr>
                <w:sz w:val="14"/>
                <w:szCs w:val="14"/>
                <w:lang w:val="ru-RU"/>
              </w:rPr>
              <w:t>И меня поражает вот эта восточная базарная привычка откупаться. Что это такое – он компенсирует, какие-то деньги даст родственникам наших погибших бойцов, офицеров? Там офицеры были. Можно убить, извиниться, заплатить – и все забыли? Нет, не забыли. Мы не забыли погибших летчиков того вертолета. И это какая-то странная тенденция, когда можно натворить бед, а потом сказать: извините, вот вам денег. Так не должно быть. Мы не торгуем жизнями наших бойцов. Мы вполне можем сами обеспечить родственников погибших. Но вот эта ситуация, конечно, неприемлема, когда азербайджанская сторона вот так просто и беспринципно убивает наших людей. Еще надо разобраться, почему их убили.</w:t>
            </w:r>
            <w:r w:rsidR="00356035" w:rsidRPr="00A2019B">
              <w:rPr>
                <w:sz w:val="14"/>
                <w:szCs w:val="14"/>
                <w:lang w:val="ru-RU"/>
              </w:rPr>
              <w:t xml:space="preserve"> </w:t>
            </w:r>
            <w:r w:rsidRPr="00A2019B">
              <w:rPr>
                <w:sz w:val="14"/>
                <w:szCs w:val="14"/>
                <w:lang w:val="ru-RU"/>
              </w:rPr>
              <w:t>Был не только расстрел уазика «Патриот», в котором ехали пять человек. Они еще из танков расстреляли наш наблюдательный пункт, разобрав его полностью. И чем это пункт был – они не могли не знать. Они не могли не знать, что там дислоцируются российские миротворцы. И я не знаю, были ли жертвы в ходе этого обстрела. Официальных данных об этом нет, есть неофициальные. Но поскольку они не подтверждены, я их озвучивать не буду. Это говорит об отношении азербайджанских военных к российской миротворческой миссии, мандат которой в регионе, я напомню, истекает в ноябре 2025 года. Еще по мандату нам два года с небольшим надо сосуществовать. Что будет дальше, предположить сложно.</w:t>
            </w:r>
          </w:p>
        </w:tc>
      </w:tr>
      <w:tr w:rsidR="00A2019B" w:rsidRPr="00355242" w14:paraId="6A650E34" w14:textId="77777777" w:rsidTr="00A2019B">
        <w:trPr>
          <w:trHeight w:val="300"/>
          <w:jc w:val="center"/>
        </w:trPr>
        <w:tc>
          <w:tcPr>
            <w:tcW w:w="639" w:type="dxa"/>
          </w:tcPr>
          <w:p w14:paraId="4B5F75DD" w14:textId="77777777" w:rsidR="00B2423C" w:rsidRPr="00A2019B" w:rsidRDefault="00B2423C" w:rsidP="00EB2D0C">
            <w:pPr>
              <w:ind w:firstLine="0"/>
              <w:jc w:val="center"/>
              <w:rPr>
                <w:b/>
                <w:sz w:val="14"/>
                <w:szCs w:val="14"/>
              </w:rPr>
            </w:pPr>
            <w:r w:rsidRPr="00A2019B">
              <w:rPr>
                <w:b/>
                <w:sz w:val="14"/>
                <w:szCs w:val="14"/>
              </w:rPr>
              <w:t>2024</w:t>
            </w:r>
          </w:p>
        </w:tc>
        <w:tc>
          <w:tcPr>
            <w:tcW w:w="1572" w:type="dxa"/>
          </w:tcPr>
          <w:p w14:paraId="28397E25" w14:textId="77777777" w:rsidR="00B2423C" w:rsidRPr="00A2019B" w:rsidRDefault="00B2423C" w:rsidP="00EB2D0C">
            <w:pPr>
              <w:ind w:firstLine="0"/>
              <w:jc w:val="center"/>
              <w:rPr>
                <w:b/>
                <w:sz w:val="14"/>
                <w:szCs w:val="14"/>
              </w:rPr>
            </w:pPr>
            <w:r w:rsidRPr="00A2019B">
              <w:rPr>
                <w:b/>
                <w:sz w:val="14"/>
                <w:szCs w:val="14"/>
              </w:rPr>
              <w:t>Semyen Bagdasarov</w:t>
            </w:r>
          </w:p>
        </w:tc>
        <w:tc>
          <w:tcPr>
            <w:tcW w:w="1350" w:type="dxa"/>
          </w:tcPr>
          <w:p w14:paraId="40A929A2" w14:textId="3A198ABB" w:rsidR="00B2423C" w:rsidRPr="00A2019B" w:rsidRDefault="00B2423C" w:rsidP="00EB2D0C">
            <w:pPr>
              <w:ind w:firstLine="0"/>
              <w:jc w:val="center"/>
              <w:rPr>
                <w:b/>
                <w:sz w:val="14"/>
                <w:szCs w:val="14"/>
              </w:rPr>
            </w:pPr>
            <w:r w:rsidRPr="00A2019B">
              <w:rPr>
                <w:b/>
                <w:sz w:val="14"/>
                <w:szCs w:val="14"/>
              </w:rPr>
              <w:t>Semi-official</w:t>
            </w:r>
            <w:r w:rsidR="00C94038">
              <w:rPr>
                <w:b/>
                <w:sz w:val="14"/>
                <w:szCs w:val="14"/>
              </w:rPr>
              <w:t xml:space="preserve">/ </w:t>
            </w:r>
            <w:r w:rsidRPr="00A2019B">
              <w:rPr>
                <w:b/>
                <w:sz w:val="14"/>
                <w:szCs w:val="14"/>
              </w:rPr>
              <w:t>media figure</w:t>
            </w:r>
          </w:p>
        </w:tc>
        <w:tc>
          <w:tcPr>
            <w:tcW w:w="1690" w:type="dxa"/>
          </w:tcPr>
          <w:p w14:paraId="34AEFDAD" w14:textId="3C7DC27F" w:rsidR="00B2423C" w:rsidRPr="00A2019B" w:rsidRDefault="00B2423C" w:rsidP="00EB2D0C">
            <w:pPr>
              <w:ind w:firstLine="0"/>
              <w:jc w:val="center"/>
              <w:rPr>
                <w:b/>
                <w:sz w:val="14"/>
                <w:szCs w:val="14"/>
              </w:rPr>
            </w:pPr>
            <w:r w:rsidRPr="00A2019B">
              <w:rPr>
                <w:b/>
                <w:sz w:val="14"/>
                <w:szCs w:val="14"/>
              </w:rPr>
              <w:t>Public comment</w:t>
            </w:r>
            <w:r w:rsidR="00C94038">
              <w:rPr>
                <w:b/>
                <w:sz w:val="14"/>
                <w:szCs w:val="14"/>
              </w:rPr>
              <w:t xml:space="preserve"> reposted on Telegram</w:t>
            </w:r>
          </w:p>
        </w:tc>
        <w:tc>
          <w:tcPr>
            <w:tcW w:w="10337" w:type="dxa"/>
          </w:tcPr>
          <w:p w14:paraId="2BA8161D" w14:textId="7508E285" w:rsidR="00B2423C" w:rsidRPr="00A2019B" w:rsidRDefault="00B2423C" w:rsidP="00A2019B">
            <w:pPr>
              <w:jc w:val="center"/>
              <w:rPr>
                <w:sz w:val="14"/>
                <w:szCs w:val="14"/>
                <w:lang w:val="ru-RU"/>
              </w:rPr>
            </w:pPr>
            <w:r w:rsidRPr="00A2019B">
              <w:rPr>
                <w:sz w:val="14"/>
                <w:szCs w:val="14"/>
                <w:lang w:val="ru-RU"/>
              </w:rPr>
              <w:t>Что касается странной информации, которая распространяется о якобы проводимом в армянских школах исследовании, утверждающем, что Россия «оккупирует Восточную Армению». Я понимаю, что это полная чепуха, но не в такой крайности. Напомню: до 1828 года — до Туркманчайского договора между Ираном и Российской империей — территория современной Восточной Армении входила в состав Ирана.</w:t>
            </w:r>
            <w:r w:rsidR="00356035" w:rsidRPr="00A2019B">
              <w:rPr>
                <w:sz w:val="14"/>
                <w:szCs w:val="14"/>
                <w:lang w:val="ru-RU"/>
              </w:rPr>
              <w:t xml:space="preserve"> </w:t>
            </w:r>
            <w:r w:rsidRPr="00A2019B">
              <w:rPr>
                <w:sz w:val="14"/>
                <w:szCs w:val="14"/>
                <w:lang w:val="ru-RU"/>
              </w:rPr>
              <w:t xml:space="preserve">Более того, во времена шаха Аббаса </w:t>
            </w:r>
            <w:r w:rsidRPr="00A2019B">
              <w:rPr>
                <w:sz w:val="14"/>
                <w:szCs w:val="14"/>
              </w:rPr>
              <w:t>I</w:t>
            </w:r>
            <w:r w:rsidRPr="00A2019B">
              <w:rPr>
                <w:sz w:val="14"/>
                <w:szCs w:val="14"/>
                <w:lang w:val="ru-RU"/>
              </w:rPr>
              <w:t>, примерно за 200 лет до событий, о которых часто упоминают, большинство армян было переселено со своей исторической родины. На их место Аббас переселил курдов и тюркские племена. Эти племена и курды создали на этих землях собственное квази-государственное образование в рамках Ирана — не полностью независимое государство, но некую административную единицу, наподобие так называемого Армянского ханства при Иране. К сожалению, армяне потеряли государственность ещё за несколько веков до этого. Позже, после прихода России, армяне «вернулись» на свои исторические земли, в основном на территории Ирана. Этот процесс частично курировал российский посол Грибоедов, за что он и пострадал. В итоге было создано так называемое Армянское областное образование и так далее.</w:t>
            </w:r>
            <w:r w:rsidR="00356035" w:rsidRPr="00A2019B">
              <w:rPr>
                <w:sz w:val="14"/>
                <w:szCs w:val="14"/>
                <w:lang w:val="ru-RU"/>
              </w:rPr>
              <w:t xml:space="preserve"> </w:t>
            </w:r>
            <w:r w:rsidRPr="00A2019B">
              <w:rPr>
                <w:sz w:val="14"/>
                <w:szCs w:val="14"/>
                <w:lang w:val="ru-RU"/>
              </w:rPr>
              <w:t>Позднее эти территории вошли в состав Кавказского наместничества. Фактически, армянский народ «вернулся» на свою историческую родину — Восточную Армению. Западная Армения, однако, с тех пор находится под властью турок, во многом благодаря историческому влиянию России.</w:t>
            </w:r>
            <w:r w:rsidR="00356035" w:rsidRPr="00A2019B">
              <w:rPr>
                <w:sz w:val="14"/>
                <w:szCs w:val="14"/>
                <w:lang w:val="ru-RU"/>
              </w:rPr>
              <w:t xml:space="preserve"> </w:t>
            </w:r>
            <w:r w:rsidRPr="00A2019B">
              <w:rPr>
                <w:sz w:val="14"/>
                <w:szCs w:val="14"/>
                <w:lang w:val="ru-RU"/>
              </w:rPr>
              <w:t>Что означает, когда люди продвигают идеи, оправдывающие такие нарративы? Это сродни оправданию пропаганды. Соседняя страна, Азербайджан, утверждает, что армяне должны восстановить границы, существовавшие до Российской империи и Эриванского ханства. Они фактически предлагают снова переселить армян, как это сделал шах Аббас столетия назад. Разве это правильно? Это крайне опрометчивое мышление. Армяне всегда отвечали на вызовы с умом и стойкостью. Но то, что некоторые делают сейчас, выглядит как примитивная глупость — иначе не назовёшь.</w:t>
            </w:r>
            <w:r w:rsidR="00356035" w:rsidRPr="00A2019B">
              <w:rPr>
                <w:sz w:val="14"/>
                <w:szCs w:val="14"/>
                <w:lang w:val="ru-RU"/>
              </w:rPr>
              <w:t xml:space="preserve"> </w:t>
            </w:r>
            <w:r w:rsidRPr="00A2019B">
              <w:rPr>
                <w:sz w:val="14"/>
                <w:szCs w:val="14"/>
                <w:lang w:val="ru-RU"/>
              </w:rPr>
              <w:t>Людям стоит изучать собственную историю. Когда армяне потеряли свою независимость? Что было на этих землях до прихода Российской империи? Где находился армянский народ? К сожалению, в то время независимого армянского государства не существовало. И сейчас некоторые называют эту землю «чужой». Там жили дикие племена, которые создавали собственные ханства. По крайней мере, стоит об этом подумать. Или вы уже готовите население к тому, что эти земли могут стать «Западным Азербайджаном»? Если да, то это многое объясняет.</w:t>
            </w:r>
            <w:r w:rsidR="00356035" w:rsidRPr="00A2019B">
              <w:rPr>
                <w:sz w:val="14"/>
                <w:szCs w:val="14"/>
                <w:lang w:val="ru-RU"/>
              </w:rPr>
              <w:t xml:space="preserve"> </w:t>
            </w:r>
            <w:r w:rsidRPr="00A2019B">
              <w:rPr>
                <w:sz w:val="14"/>
                <w:szCs w:val="14"/>
                <w:lang w:val="ru-RU"/>
              </w:rPr>
              <w:t>Существует разница между предательством и тем, что я могу назвать суперапредательством — нынешняя глупость является как раз формой этого. Те, кто пишет и продвигает эти идеи, сейчас демонстрируют именно эту нелепость.</w:t>
            </w:r>
            <w:r w:rsidR="00356035" w:rsidRPr="00A2019B">
              <w:rPr>
                <w:sz w:val="14"/>
                <w:szCs w:val="14"/>
                <w:lang w:val="ru-RU"/>
              </w:rPr>
              <w:t xml:space="preserve"> </w:t>
            </w:r>
            <w:r w:rsidRPr="00A2019B">
              <w:rPr>
                <w:sz w:val="14"/>
                <w:szCs w:val="14"/>
                <w:lang w:val="ru-RU"/>
              </w:rPr>
              <w:t>Более того, во времена шаха Аббаса, за 200 лет до описываемых событий, большинство армян было изгнано с исторической родины, а вместо них Аббас поселил курдов и тюркские племена. Эти народы создали собственные государства в рамках Ирана, или, точнее, некое административное квази-государственное образование, включая так называемое Эриванское ханство. К сожалению, армянский народ потерял государственность за несколько веков до этого. После прихода России армяне вернулись на свои исторические земли в Иране, частично благодаря действиям российского посла Грибоедова, за что он пострадал. Позднее была образована так называемая Армянская область и так далее.</w:t>
            </w:r>
            <w:r w:rsidR="00356035" w:rsidRPr="00A2019B">
              <w:rPr>
                <w:sz w:val="14"/>
                <w:szCs w:val="14"/>
                <w:lang w:val="ru-RU"/>
              </w:rPr>
              <w:t xml:space="preserve">  </w:t>
            </w:r>
            <w:r w:rsidRPr="00A2019B">
              <w:rPr>
                <w:sz w:val="14"/>
                <w:szCs w:val="14"/>
                <w:lang w:val="ru-RU"/>
              </w:rPr>
              <w:t>Все эти территории затем вошли в состав Кавказского наместничества. Фактически, армяне вернулись на свою историческую родину — Восточную Армению. Западная Армения, однако, с тех пор находится под властью турок, во многом благодаря России. Когда такие идеи продвигаются, что вы делаете? Фактически вы оправдываете пропагандистов.</w:t>
            </w:r>
            <w:r w:rsidR="00356035" w:rsidRPr="00A2019B">
              <w:rPr>
                <w:sz w:val="14"/>
                <w:szCs w:val="14"/>
                <w:lang w:val="ru-RU"/>
              </w:rPr>
              <w:t xml:space="preserve"> </w:t>
            </w:r>
            <w:r w:rsidRPr="00A2019B">
              <w:rPr>
                <w:sz w:val="14"/>
                <w:szCs w:val="14"/>
                <w:lang w:val="ru-RU"/>
              </w:rPr>
              <w:t>Соседняя страна, Азербайджан, утверждает, что армяне должны восстановить границы, существовавшие до Российской империи и Эриванского ханства. Разве армян должны снова переселять, как это сделал шах Аббас? Это ли идея? Нужно тщательно об этом подумать. Но армяне всегда отвечали с высоким интеллектом. То, что происходит сейчас, — это нечто вроде каменного века глупости. Иначе это не описать.</w:t>
            </w:r>
            <w:r w:rsidR="00356035" w:rsidRPr="00A2019B">
              <w:rPr>
                <w:sz w:val="14"/>
                <w:szCs w:val="14"/>
                <w:lang w:val="ru-RU"/>
              </w:rPr>
              <w:t xml:space="preserve"> </w:t>
            </w:r>
            <w:r w:rsidRPr="00A2019B">
              <w:rPr>
                <w:sz w:val="14"/>
                <w:szCs w:val="14"/>
                <w:lang w:val="ru-RU"/>
              </w:rPr>
              <w:t>Изучайте историю собственного народа. Когда армяне потеряли государственность? Что было на этих землях до прихода Российской империи? Где находились армяне? К сожалению, армянского государства не было. Эти земли считаются «чужими». Там жили дикие племена, которые создавали свои ханства. По крайней мере, подумайте об этом. Или вы уже готовите население к тому, что эти территории будут называться «Западным Азербайджаном»? Тогда все становится ясно. Но знайте: есть предательство, а есть — не знаю, как назвать — суперапредательство. Именно это происходит сейчас, исходя из этой глупости.</w:t>
            </w:r>
            <w:r w:rsidR="00356035" w:rsidRPr="00A2019B">
              <w:rPr>
                <w:sz w:val="14"/>
                <w:szCs w:val="14"/>
                <w:lang w:val="ru-RU"/>
              </w:rPr>
              <w:t xml:space="preserve"> </w:t>
            </w:r>
            <w:r w:rsidRPr="00A2019B">
              <w:rPr>
                <w:sz w:val="14"/>
                <w:szCs w:val="14"/>
                <w:lang w:val="ru-RU"/>
              </w:rPr>
              <w:t>Вот что те, кто пишет и продвигает такие идеи, демонстрируют в настоящий момент.</w:t>
            </w:r>
          </w:p>
        </w:tc>
      </w:tr>
      <w:tr w:rsidR="00A2019B" w:rsidRPr="00355242" w14:paraId="1E471BCD" w14:textId="77777777" w:rsidTr="00A2019B">
        <w:trPr>
          <w:trHeight w:val="300"/>
          <w:jc w:val="center"/>
        </w:trPr>
        <w:tc>
          <w:tcPr>
            <w:tcW w:w="639" w:type="dxa"/>
          </w:tcPr>
          <w:p w14:paraId="41DEDF85" w14:textId="77777777" w:rsidR="00B2423C" w:rsidRPr="00A2019B" w:rsidRDefault="00B2423C" w:rsidP="00EB2D0C">
            <w:pPr>
              <w:ind w:firstLine="0"/>
              <w:jc w:val="center"/>
              <w:rPr>
                <w:b/>
                <w:sz w:val="14"/>
                <w:szCs w:val="14"/>
              </w:rPr>
            </w:pPr>
            <w:r w:rsidRPr="00A2019B">
              <w:rPr>
                <w:b/>
                <w:sz w:val="14"/>
                <w:szCs w:val="14"/>
              </w:rPr>
              <w:t>2024</w:t>
            </w:r>
          </w:p>
        </w:tc>
        <w:tc>
          <w:tcPr>
            <w:tcW w:w="1572" w:type="dxa"/>
          </w:tcPr>
          <w:p w14:paraId="1E31CA1C" w14:textId="474F4A0B" w:rsidR="00B2423C" w:rsidRPr="00A2019B" w:rsidRDefault="00B2423C" w:rsidP="00EB2D0C">
            <w:pPr>
              <w:ind w:firstLine="0"/>
              <w:jc w:val="center"/>
              <w:rPr>
                <w:b/>
                <w:sz w:val="14"/>
                <w:szCs w:val="14"/>
              </w:rPr>
            </w:pPr>
            <w:r w:rsidRPr="00A2019B">
              <w:rPr>
                <w:b/>
                <w:sz w:val="14"/>
                <w:szCs w:val="14"/>
              </w:rPr>
              <w:t>Natalya</w:t>
            </w:r>
            <w:r w:rsidR="00C94038">
              <w:rPr>
                <w:b/>
                <w:sz w:val="14"/>
                <w:szCs w:val="14"/>
              </w:rPr>
              <w:t xml:space="preserve"> </w:t>
            </w:r>
            <w:r w:rsidRPr="00A2019B">
              <w:rPr>
                <w:b/>
                <w:sz w:val="14"/>
                <w:szCs w:val="14"/>
              </w:rPr>
              <w:t>Narochnitskaya</w:t>
            </w:r>
          </w:p>
        </w:tc>
        <w:tc>
          <w:tcPr>
            <w:tcW w:w="1350" w:type="dxa"/>
          </w:tcPr>
          <w:p w14:paraId="77235103" w14:textId="2DC37A2D" w:rsidR="00B2423C" w:rsidRPr="00A2019B" w:rsidRDefault="00B2423C" w:rsidP="00EB2D0C">
            <w:pPr>
              <w:ind w:firstLine="0"/>
              <w:jc w:val="center"/>
              <w:rPr>
                <w:b/>
                <w:sz w:val="14"/>
                <w:szCs w:val="14"/>
              </w:rPr>
            </w:pPr>
            <w:r w:rsidRPr="00A2019B">
              <w:rPr>
                <w:b/>
                <w:sz w:val="14"/>
                <w:szCs w:val="14"/>
              </w:rPr>
              <w:t>Semi-official/</w:t>
            </w:r>
            <w:r w:rsidR="00C94038">
              <w:rPr>
                <w:b/>
                <w:sz w:val="14"/>
                <w:szCs w:val="14"/>
              </w:rPr>
              <w:t xml:space="preserve"> </w:t>
            </w:r>
            <w:r w:rsidRPr="00A2019B">
              <w:rPr>
                <w:b/>
                <w:sz w:val="14"/>
                <w:szCs w:val="14"/>
              </w:rPr>
              <w:t>intellectual elite</w:t>
            </w:r>
          </w:p>
        </w:tc>
        <w:tc>
          <w:tcPr>
            <w:tcW w:w="1690" w:type="dxa"/>
          </w:tcPr>
          <w:p w14:paraId="20E7CCD0" w14:textId="77777777" w:rsidR="00B2423C" w:rsidRPr="00A2019B" w:rsidRDefault="00B2423C" w:rsidP="00EB2D0C">
            <w:pPr>
              <w:ind w:firstLine="0"/>
              <w:jc w:val="center"/>
              <w:rPr>
                <w:b/>
                <w:sz w:val="14"/>
                <w:szCs w:val="14"/>
              </w:rPr>
            </w:pPr>
            <w:r w:rsidRPr="00A2019B">
              <w:rPr>
                <w:b/>
                <w:sz w:val="14"/>
                <w:szCs w:val="14"/>
              </w:rPr>
              <w:t>Public Speech</w:t>
            </w:r>
          </w:p>
        </w:tc>
        <w:tc>
          <w:tcPr>
            <w:tcW w:w="10337" w:type="dxa"/>
          </w:tcPr>
          <w:p w14:paraId="71B3EAE4" w14:textId="3FDF6795" w:rsidR="00B2423C" w:rsidRPr="00A2019B" w:rsidRDefault="00B2423C" w:rsidP="00A2019B">
            <w:pPr>
              <w:jc w:val="center"/>
              <w:rPr>
                <w:sz w:val="14"/>
                <w:szCs w:val="14"/>
                <w:lang w:val="ru-RU"/>
              </w:rPr>
            </w:pPr>
            <w:r w:rsidRPr="00A2019B">
              <w:rPr>
                <w:sz w:val="14"/>
                <w:szCs w:val="14"/>
                <w:lang w:val="ru-RU"/>
              </w:rPr>
              <w:t>Можно потерять экономические блага, но это все наживное, а вот потерять душу, верность к своей нации, истории, это очень страшно.</w:t>
            </w:r>
            <w:r w:rsidR="00356035" w:rsidRPr="00A2019B">
              <w:rPr>
                <w:sz w:val="14"/>
                <w:szCs w:val="14"/>
                <w:lang w:val="ru-RU"/>
              </w:rPr>
              <w:t xml:space="preserve"> </w:t>
            </w:r>
            <w:r w:rsidRPr="00A2019B">
              <w:rPr>
                <w:sz w:val="14"/>
                <w:szCs w:val="14"/>
                <w:lang w:val="ru-RU"/>
              </w:rPr>
              <w:t>Мой отец (академик А.Л.Нарочницкий, академик, один из корифеев советской исторической науки – ред.) всегда говорил, любовь к своему — это не ненависть к новому. Тот, кто любит и ценит своё и почитает достояние, только тот способен с таким же чувством почитания и уважения отнестись к другим.</w:t>
            </w:r>
            <w:r w:rsidRPr="00A2019B">
              <w:rPr>
                <w:sz w:val="14"/>
                <w:szCs w:val="14"/>
              </w:rPr>
              <w:t> </w:t>
            </w:r>
            <w:r w:rsidRPr="00A2019B">
              <w:rPr>
                <w:sz w:val="14"/>
                <w:szCs w:val="14"/>
                <w:lang w:val="ru-RU"/>
              </w:rPr>
              <w:t xml:space="preserve"> К сожалению, история никого не учит, но очень наказывает за эгоизм и её незнание. Вот это мне кажется сейчас происходит.</w:t>
            </w:r>
            <w:r w:rsidR="00356035" w:rsidRPr="00A2019B">
              <w:rPr>
                <w:sz w:val="14"/>
                <w:szCs w:val="14"/>
                <w:lang w:val="ru-RU"/>
              </w:rPr>
              <w:t xml:space="preserve"> </w:t>
            </w:r>
            <w:r w:rsidRPr="00A2019B">
              <w:rPr>
                <w:sz w:val="14"/>
                <w:szCs w:val="14"/>
                <w:lang w:val="ru-RU"/>
              </w:rPr>
              <w:t>Армения очень дорога моему сердцу, это огромная трагедия, лишение национальной жизни огромной части народа и фактически её изгнание, причем даже необязательно насильственное, а изгнание через создание невозможных условий для жизни. Это тоже уничтожение</w:t>
            </w:r>
            <w:r w:rsidR="00356035" w:rsidRPr="00A2019B">
              <w:rPr>
                <w:sz w:val="14"/>
                <w:szCs w:val="14"/>
                <w:lang w:val="ru-RU"/>
              </w:rPr>
              <w:t xml:space="preserve"> </w:t>
            </w:r>
            <w:r w:rsidRPr="00A2019B">
              <w:rPr>
                <w:sz w:val="14"/>
                <w:szCs w:val="14"/>
                <w:lang w:val="ru-RU"/>
              </w:rPr>
              <w:t>народа.</w:t>
            </w:r>
            <w:r w:rsidR="00356035" w:rsidRPr="00A2019B">
              <w:rPr>
                <w:sz w:val="14"/>
                <w:szCs w:val="14"/>
                <w:lang w:val="ru-RU"/>
              </w:rPr>
              <w:t xml:space="preserve"> </w:t>
            </w:r>
            <w:r w:rsidRPr="00A2019B">
              <w:rPr>
                <w:sz w:val="14"/>
                <w:szCs w:val="14"/>
                <w:lang w:val="ru-RU"/>
              </w:rPr>
              <w:t>Остается признать, что не было геноцида, лишить всего, начать преподавать это в школах, остается еще сказать, что Россия враг, это после 300 лет, после русско-персидских войн, русско-турецких, столько крови было пролито и русскими, и армянскими мучениками, это очень тяжело.</w:t>
            </w:r>
            <w:r w:rsidR="00356035" w:rsidRPr="00A2019B">
              <w:rPr>
                <w:sz w:val="14"/>
                <w:szCs w:val="14"/>
                <w:lang w:val="ru-RU"/>
              </w:rPr>
              <w:t xml:space="preserve"> </w:t>
            </w:r>
            <w:r w:rsidRPr="00A2019B">
              <w:rPr>
                <w:sz w:val="14"/>
                <w:szCs w:val="14"/>
                <w:lang w:val="ru-RU"/>
              </w:rPr>
              <w:t>Но это не меняет моего отношение, и я всегда буду вместе с этим многострадальным народом! Вот это уничтожение — это, конечно, настоящий геноцид. И память об этом всегда должна быть в ваших и наших сердцах!</w:t>
            </w:r>
          </w:p>
        </w:tc>
      </w:tr>
      <w:tr w:rsidR="00A2019B" w:rsidRPr="00355242" w14:paraId="37E3BF35" w14:textId="77777777" w:rsidTr="00A2019B">
        <w:trPr>
          <w:trHeight w:val="300"/>
          <w:jc w:val="center"/>
        </w:trPr>
        <w:tc>
          <w:tcPr>
            <w:tcW w:w="639" w:type="dxa"/>
          </w:tcPr>
          <w:p w14:paraId="29023B66" w14:textId="77777777" w:rsidR="00B2423C" w:rsidRPr="00A2019B" w:rsidRDefault="00B2423C" w:rsidP="00EB2D0C">
            <w:pPr>
              <w:ind w:firstLine="0"/>
              <w:jc w:val="center"/>
              <w:rPr>
                <w:b/>
                <w:sz w:val="14"/>
                <w:szCs w:val="14"/>
              </w:rPr>
            </w:pPr>
            <w:r w:rsidRPr="00A2019B">
              <w:rPr>
                <w:b/>
                <w:sz w:val="14"/>
                <w:szCs w:val="14"/>
              </w:rPr>
              <w:t>2024</w:t>
            </w:r>
          </w:p>
        </w:tc>
        <w:tc>
          <w:tcPr>
            <w:tcW w:w="1572" w:type="dxa"/>
          </w:tcPr>
          <w:p w14:paraId="55AD8D2C" w14:textId="77777777" w:rsidR="00B2423C" w:rsidRPr="00A2019B" w:rsidRDefault="00B2423C" w:rsidP="00EB2D0C">
            <w:pPr>
              <w:ind w:firstLine="0"/>
              <w:jc w:val="center"/>
              <w:rPr>
                <w:b/>
                <w:sz w:val="14"/>
                <w:szCs w:val="14"/>
              </w:rPr>
            </w:pPr>
            <w:r w:rsidRPr="00A2019B">
              <w:rPr>
                <w:b/>
                <w:sz w:val="14"/>
                <w:szCs w:val="14"/>
              </w:rPr>
              <w:t>Russia MFA</w:t>
            </w:r>
          </w:p>
        </w:tc>
        <w:tc>
          <w:tcPr>
            <w:tcW w:w="1350" w:type="dxa"/>
          </w:tcPr>
          <w:p w14:paraId="7E0DB802" w14:textId="77777777" w:rsidR="00B2423C" w:rsidRPr="00A2019B" w:rsidRDefault="00B2423C" w:rsidP="00EB2D0C">
            <w:pPr>
              <w:ind w:firstLine="0"/>
              <w:jc w:val="center"/>
              <w:rPr>
                <w:b/>
                <w:sz w:val="14"/>
                <w:szCs w:val="14"/>
              </w:rPr>
            </w:pPr>
            <w:r w:rsidRPr="00A2019B">
              <w:rPr>
                <w:b/>
                <w:sz w:val="14"/>
                <w:szCs w:val="14"/>
              </w:rPr>
              <w:t>Official</w:t>
            </w:r>
          </w:p>
        </w:tc>
        <w:tc>
          <w:tcPr>
            <w:tcW w:w="1690" w:type="dxa"/>
          </w:tcPr>
          <w:p w14:paraId="6F591B8F" w14:textId="77777777" w:rsidR="00B2423C" w:rsidRPr="00A2019B" w:rsidRDefault="00B2423C" w:rsidP="00EB2D0C">
            <w:pPr>
              <w:ind w:firstLine="0"/>
              <w:jc w:val="center"/>
              <w:rPr>
                <w:b/>
                <w:sz w:val="14"/>
                <w:szCs w:val="14"/>
              </w:rPr>
            </w:pPr>
            <w:r w:rsidRPr="00A2019B">
              <w:rPr>
                <w:b/>
                <w:sz w:val="14"/>
                <w:szCs w:val="14"/>
              </w:rPr>
              <w:t>Press Release</w:t>
            </w:r>
          </w:p>
        </w:tc>
        <w:tc>
          <w:tcPr>
            <w:tcW w:w="10337" w:type="dxa"/>
          </w:tcPr>
          <w:p w14:paraId="661111C6" w14:textId="0952B582" w:rsidR="00B2423C" w:rsidRPr="00A2019B" w:rsidRDefault="00B2423C" w:rsidP="00A2019B">
            <w:pPr>
              <w:jc w:val="center"/>
              <w:rPr>
                <w:sz w:val="14"/>
                <w:szCs w:val="14"/>
                <w:lang w:val="ru-RU"/>
              </w:rPr>
            </w:pPr>
            <w:r w:rsidRPr="00A2019B">
              <w:rPr>
                <w:sz w:val="14"/>
                <w:szCs w:val="14"/>
                <w:lang w:val="ru-RU"/>
              </w:rPr>
              <w:t>Обратили внимание на крайне сомнительное содержание учебника по истории для 8 класса армянских школ, текст которого опубликован на официальном сайте подведомственной структуры Министерства образования, науки, культуры и спорта Республики Армения. Цифровая версия книги размещена для изучения и формирования заказа на 2024/2025 учебный год.</w:t>
            </w:r>
            <w:r w:rsidR="00356035" w:rsidRPr="00A2019B">
              <w:rPr>
                <w:sz w:val="14"/>
                <w:szCs w:val="14"/>
                <w:lang w:val="ru-RU"/>
              </w:rPr>
              <w:t xml:space="preserve"> </w:t>
            </w:r>
            <w:r w:rsidRPr="00A2019B">
              <w:rPr>
                <w:sz w:val="14"/>
                <w:szCs w:val="14"/>
                <w:lang w:val="ru-RU"/>
              </w:rPr>
              <w:t>В одной из глав нового пособия под провокационным названием «Насильственное присоединение Восточной Армении к России» в искажённом виде изложены события на Южном Кавказе конца XVIII – начала XIX веков. В частности, ревизии подверглись оценки итогов Русско-персидской войны 1826-1828 годов. Туркманчайский мир назван не иначе как «аннексией» Восточной Армении. Такая подача способна вызвать оторопь у любого историка.</w:t>
            </w:r>
            <w:r w:rsidR="00356035" w:rsidRPr="00A2019B">
              <w:rPr>
                <w:sz w:val="14"/>
                <w:szCs w:val="14"/>
                <w:lang w:val="ru-RU"/>
              </w:rPr>
              <w:t xml:space="preserve"> </w:t>
            </w:r>
            <w:r w:rsidRPr="00A2019B">
              <w:rPr>
                <w:sz w:val="14"/>
                <w:szCs w:val="14"/>
                <w:lang w:val="ru-RU"/>
              </w:rPr>
              <w:t>Если почитать серьёзные источники, в т.ч. армянские, можно увидеть совершенно другие подходы к мирному договору 1828 года. До последнего времени в республиканских учебниках он оценивался как имеющий «колоссальное значение для будущего восстановления армянской государственности».</w:t>
            </w:r>
            <w:r w:rsidR="00356035" w:rsidRPr="00A2019B">
              <w:rPr>
                <w:sz w:val="14"/>
                <w:szCs w:val="14"/>
                <w:lang w:val="ru-RU"/>
              </w:rPr>
              <w:t xml:space="preserve"> </w:t>
            </w:r>
            <w:r w:rsidRPr="00A2019B">
              <w:rPr>
                <w:sz w:val="14"/>
                <w:szCs w:val="14"/>
                <w:lang w:val="ru-RU"/>
              </w:rPr>
              <w:t>Ставить под сомнение особую роль Российской империи, а впоследствии СССР и России в деле становления нынешней Армении означает идти против общеизвестных фактов. Речь об очередной беззастенчивой попытке переписать нашу общую историю. В лучших традициях западной пропаганды и политического инжиниринга белое называется чёрным с «лёгкой руки» отдельных армянских деятелей, особо рьяно старающихся выслужиться перед своими спонсорами.</w:t>
            </w:r>
            <w:r w:rsidR="00356035" w:rsidRPr="00A2019B">
              <w:rPr>
                <w:sz w:val="14"/>
                <w:szCs w:val="14"/>
                <w:lang w:val="ru-RU"/>
              </w:rPr>
              <w:t xml:space="preserve"> </w:t>
            </w:r>
            <w:r w:rsidRPr="00A2019B">
              <w:rPr>
                <w:sz w:val="14"/>
                <w:szCs w:val="14"/>
                <w:lang w:val="ru-RU"/>
              </w:rPr>
              <w:t>Внедрение подобных формулировок прямо противоречит обязательствам в сфере сохранения исторической памяти, взятым на себя армянским руководством. Так, в Совместном заявлении Президента Российской Федерации В.В.Путина и Премьер-министра Республики Армения Н.В.Пашиняна от 19 апреля 2022 года сказано: «стороны, сохраняя единые подходы к общему прошлому, выразили намерение продолжить борьбу с пересмотром итогов Второй мировой войны и фальсификацией истории».</w:t>
            </w:r>
            <w:r w:rsidR="00356035" w:rsidRPr="00A2019B">
              <w:rPr>
                <w:sz w:val="14"/>
                <w:szCs w:val="14"/>
                <w:lang w:val="ru-RU"/>
              </w:rPr>
              <w:t xml:space="preserve"> </w:t>
            </w:r>
            <w:r w:rsidRPr="00A2019B">
              <w:rPr>
                <w:sz w:val="14"/>
                <w:szCs w:val="14"/>
                <w:lang w:val="ru-RU"/>
              </w:rPr>
              <w:t>Рассчитываем, что армянские власти не допустят передачи подобного учебника в школы, а также впредь не будут «смотреть сквозь пальцы» на такого рода бесцеремонные попытки исказить наше общее прошлое.</w:t>
            </w:r>
          </w:p>
        </w:tc>
      </w:tr>
    </w:tbl>
    <w:p w14:paraId="4FEA920B" w14:textId="63726B32" w:rsidR="00B2423C" w:rsidRPr="00B2423C" w:rsidRDefault="00B2423C" w:rsidP="00B2423C">
      <w:pPr>
        <w:pStyle w:val="Titolo1"/>
        <w:rPr>
          <w:lang w:val="ru-RU"/>
        </w:rPr>
      </w:pPr>
      <w:r w:rsidRPr="00B2423C">
        <w:rPr>
          <w:lang w:val="ru-RU"/>
        </w:rPr>
        <w:t xml:space="preserve"> </w:t>
      </w:r>
    </w:p>
    <w:p w14:paraId="6537F28F" w14:textId="7B6795CB" w:rsidR="00B2423C" w:rsidRPr="00B2423C" w:rsidRDefault="00B2423C" w:rsidP="00B2423C">
      <w:pPr>
        <w:pStyle w:val="Corpotesto"/>
        <w:spacing w:before="176"/>
        <w:ind w:right="420"/>
        <w:rPr>
          <w:lang w:val="ru-RU"/>
        </w:rPr>
        <w:sectPr w:rsidR="00B2423C" w:rsidRPr="00B2423C" w:rsidSect="00B2423C">
          <w:pgSz w:w="16840" w:h="11910" w:orient="landscape"/>
          <w:pgMar w:top="1418" w:right="1038" w:bottom="425" w:left="958" w:header="0" w:footer="777" w:gutter="0"/>
          <w:cols w:space="720"/>
          <w:docGrid w:linePitch="326"/>
        </w:sectPr>
      </w:pPr>
    </w:p>
    <w:p w14:paraId="5C7EC1D9" w14:textId="48F4AE3F" w:rsidR="54775126" w:rsidRPr="00B2423C" w:rsidRDefault="54775126" w:rsidP="004F4D91">
      <w:pPr>
        <w:pStyle w:val="Corpotesto"/>
        <w:spacing w:before="176"/>
        <w:ind w:left="283" w:right="420"/>
        <w:rPr>
          <w:smallCaps/>
          <w:lang w:val="ru-RU"/>
        </w:rPr>
        <w:sectPr w:rsidR="54775126" w:rsidRPr="00B2423C" w:rsidSect="00B2423C">
          <w:pgSz w:w="11910" w:h="16840"/>
          <w:pgMar w:top="1038" w:right="425" w:bottom="958" w:left="1418" w:header="0" w:footer="777" w:gutter="0"/>
          <w:cols w:space="720"/>
        </w:sectPr>
      </w:pPr>
    </w:p>
    <w:p w14:paraId="45FB109E" w14:textId="0C1C4786" w:rsidR="54775126" w:rsidRPr="00B2423C" w:rsidRDefault="54775126" w:rsidP="004F4D91">
      <w:pPr>
        <w:pStyle w:val="Titolo1"/>
        <w:spacing w:before="176"/>
        <w:ind w:left="283" w:right="420"/>
        <w:rPr>
          <w:lang w:val="ru-RU"/>
        </w:rPr>
      </w:pPr>
      <w:bookmarkStart w:id="88" w:name="_bookmark1"/>
      <w:bookmarkEnd w:id="88"/>
    </w:p>
    <w:sectPr w:rsidR="54775126" w:rsidRPr="00B2423C" w:rsidSect="004F4D91">
      <w:footerReference w:type="default" r:id="rId273"/>
      <w:type w:val="nextColumn"/>
      <w:pgSz w:w="16840" w:h="11910" w:orient="landscape"/>
      <w:pgMar w:top="1038" w:right="425" w:bottom="95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C4680" w14:textId="77777777" w:rsidR="006626F6" w:rsidRDefault="006626F6">
      <w:r>
        <w:separator/>
      </w:r>
    </w:p>
  </w:endnote>
  <w:endnote w:type="continuationSeparator" w:id="0">
    <w:p w14:paraId="74108EBE" w14:textId="77777777" w:rsidR="006626F6" w:rsidRDefault="00662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3147362"/>
      <w:docPartObj>
        <w:docPartGallery w:val="Page Numbers (Bottom of Page)"/>
        <w:docPartUnique/>
      </w:docPartObj>
    </w:sdtPr>
    <w:sdtContent>
      <w:p w14:paraId="289E56FB" w14:textId="6972CBAD" w:rsidR="00696F75" w:rsidRDefault="00696F75">
        <w:pPr>
          <w:pStyle w:val="Pidipagina"/>
          <w:jc w:val="right"/>
        </w:pPr>
        <w:r>
          <w:fldChar w:fldCharType="begin"/>
        </w:r>
        <w:r>
          <w:instrText>PAGE   \* MERGEFORMAT</w:instrText>
        </w:r>
        <w:r>
          <w:fldChar w:fldCharType="separate"/>
        </w:r>
        <w:r>
          <w:rPr>
            <w:lang w:val="it-IT"/>
          </w:rPr>
          <w:t>2</w:t>
        </w:r>
        <w:r>
          <w:fldChar w:fldCharType="end"/>
        </w:r>
      </w:p>
    </w:sdtContent>
  </w:sdt>
  <w:p w14:paraId="1C393BDE" w14:textId="3B618E56" w:rsidR="00CA7E2D" w:rsidRDefault="00CA7E2D">
    <w:pPr>
      <w:pStyle w:val="Corpotesto"/>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94B97" w14:textId="77777777" w:rsidR="00CA7E2D" w:rsidRDefault="00CA7E2D">
    <w:pPr>
      <w:pStyle w:val="Corpotesto"/>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E6917" w14:textId="77777777" w:rsidR="006626F6" w:rsidRDefault="006626F6">
      <w:r>
        <w:separator/>
      </w:r>
    </w:p>
  </w:footnote>
  <w:footnote w:type="continuationSeparator" w:id="0">
    <w:p w14:paraId="35BB9B15" w14:textId="77777777" w:rsidR="006626F6" w:rsidRDefault="006626F6">
      <w:r>
        <w:continuationSeparator/>
      </w:r>
    </w:p>
  </w:footnote>
  <w:footnote w:id="1">
    <w:p w14:paraId="589AE35D" w14:textId="7B1DD195" w:rsidR="00CA7E2D" w:rsidRPr="008B7CBF" w:rsidRDefault="00CA7E2D" w:rsidP="001C6076">
      <w:pPr>
        <w:pStyle w:val="Testonotaapidipagina"/>
        <w:ind w:firstLine="0"/>
      </w:pPr>
      <w:r>
        <w:rPr>
          <w:rStyle w:val="Rimandonotaapidipagina"/>
        </w:rPr>
        <w:footnoteRef/>
      </w:r>
      <w:r>
        <w:t xml:space="preserve"> </w:t>
      </w:r>
      <w:r w:rsidRPr="008B7CBF">
        <w:t>1994 is marked here as the year the First Nagorno-Karabakh War ended, with the Armenians in full control of the enclave and the surrounding Azerbaijani districts, and the Azerbaijani population expelled from these areas.</w:t>
      </w:r>
    </w:p>
  </w:footnote>
  <w:footnote w:id="2">
    <w:p w14:paraId="2AC6D17C" w14:textId="5915062C" w:rsidR="00CA7E2D" w:rsidRPr="00391B8E" w:rsidRDefault="00CA7E2D" w:rsidP="001C6076">
      <w:pPr>
        <w:pStyle w:val="Testonotaapidipagina"/>
        <w:ind w:firstLine="0"/>
      </w:pPr>
      <w:r>
        <w:rPr>
          <w:rStyle w:val="Rimandonotaapidipagina"/>
        </w:rPr>
        <w:footnoteRef/>
      </w:r>
      <w:r>
        <w:t xml:space="preserve"> </w:t>
      </w:r>
      <w:r w:rsidRPr="00391B8E">
        <w:t>Here I am referring to the First Karabakh War, which lasted from 1988 to 1994; the Four-Day War of April 2016; and the Second Karabakh War, which took place from September to November 2020.</w:t>
      </w:r>
    </w:p>
  </w:footnote>
  <w:footnote w:id="3">
    <w:p w14:paraId="1CA344E6" w14:textId="56F9B471" w:rsidR="00CA7E2D" w:rsidRPr="00391B8E" w:rsidRDefault="00CA7E2D" w:rsidP="001C6076">
      <w:pPr>
        <w:pStyle w:val="Testonotaapidipagina"/>
        <w:ind w:firstLine="0"/>
      </w:pPr>
      <w:r>
        <w:rPr>
          <w:rStyle w:val="Rimandonotaapidipagina"/>
        </w:rPr>
        <w:footnoteRef/>
      </w:r>
      <w:r>
        <w:t xml:space="preserve"> The OSCE </w:t>
      </w:r>
      <w:r w:rsidRPr="00391B8E">
        <w:t>created the OSCE Minsk Group in 1992 to help find a peaceful solution to the dispute between Armenia and Azerbaijan over Nagorno-Karabakh. The United States, France, and Russia co-chair</w:t>
      </w:r>
      <w:r>
        <w:t>ed</w:t>
      </w:r>
      <w:r w:rsidRPr="00391B8E">
        <w:t xml:space="preserve"> it</w:t>
      </w:r>
      <w:r>
        <w:t xml:space="preserve"> until 2025</w:t>
      </w:r>
      <w:r w:rsidRPr="00391B8E">
        <w:t>.</w:t>
      </w:r>
    </w:p>
  </w:footnote>
  <w:footnote w:id="4">
    <w:p w14:paraId="5D939446" w14:textId="598C95F2" w:rsidR="00CA7E2D" w:rsidRPr="001C6076" w:rsidRDefault="00CA7E2D" w:rsidP="001C6076">
      <w:pPr>
        <w:pStyle w:val="Testonotaapidipagina"/>
        <w:ind w:firstLine="0"/>
      </w:pPr>
      <w:r>
        <w:rPr>
          <w:rStyle w:val="Rimandonotaapidipagina"/>
        </w:rPr>
        <w:footnoteRef/>
      </w:r>
      <w:r>
        <w:t xml:space="preserve"> T</w:t>
      </w:r>
      <w:r w:rsidRPr="001C6076">
        <w:t>he 2018 Velvet Revolution in Armenia was a series of peaceful protests against the political actions of then-President and Prime Minister Serzh Sargsyan. The movement was spearheaded by journalist and opposition leader Nikol Pashinyan, who subsequently became Prime Minister. His critical stance towards Russia prior to taking office sparked significant discussions about the implications of the Velvet Revolution on Russian-Armenian relations.</w:t>
      </w:r>
    </w:p>
  </w:footnote>
  <w:footnote w:id="5">
    <w:p w14:paraId="0586EC63" w14:textId="12E5BCCE" w:rsidR="00CA7E2D" w:rsidRPr="00391B8E" w:rsidRDefault="00CA7E2D" w:rsidP="001C6076">
      <w:pPr>
        <w:pStyle w:val="Testonotaapidipagina"/>
        <w:ind w:firstLine="0"/>
      </w:pPr>
      <w:r>
        <w:rPr>
          <w:rStyle w:val="Rimandonotaapidipagina"/>
        </w:rPr>
        <w:footnoteRef/>
      </w:r>
      <w:r>
        <w:t xml:space="preserve"> </w:t>
      </w:r>
      <w:r w:rsidRPr="00391B8E">
        <w:t>Terms and names in Russian, which I speak fluently, and Armenian, which I can read, are presented both in their original script and with Latin transliteration.</w:t>
      </w:r>
    </w:p>
  </w:footnote>
  <w:footnote w:id="6">
    <w:p w14:paraId="29F8DB63" w14:textId="27515446" w:rsidR="00CA7E2D" w:rsidRPr="00391B8E" w:rsidRDefault="00CA7E2D" w:rsidP="001C6076">
      <w:pPr>
        <w:pStyle w:val="Testonotaapidipagina"/>
        <w:ind w:firstLine="0"/>
      </w:pPr>
      <w:r>
        <w:rPr>
          <w:rStyle w:val="Rimandonotaapidipagina"/>
        </w:rPr>
        <w:footnoteRef/>
      </w:r>
      <w:r>
        <w:t xml:space="preserve"> </w:t>
      </w:r>
      <w:r w:rsidRPr="00391B8E">
        <w:t>Securitization theory was developed by the Copenhagen School, which includes scholars such as Barry Buzan, Ole Wæver, Jaap de Wilde, and others. Securitization involves identifying certain issues as existential threats that require immediate action. This process partly relies on the shared beliefs and assumptions within a society about what needs protection. It also involves determining the specific referent objects that a society considers crucial for its security (Buzan</w:t>
      </w:r>
      <w:r>
        <w:t xml:space="preserve"> et al. </w:t>
      </w:r>
      <w:r w:rsidRPr="00391B8E">
        <w:t>1998</w:t>
      </w:r>
      <w:r>
        <w:t>,</w:t>
      </w:r>
      <w:r w:rsidRPr="00391B8E">
        <w:t xml:space="preserve"> 36–40).</w:t>
      </w:r>
    </w:p>
  </w:footnote>
  <w:footnote w:id="7">
    <w:p w14:paraId="03D7C7C8" w14:textId="3458EA17" w:rsidR="00CA7E2D" w:rsidRPr="00DC5CA2" w:rsidRDefault="00CA7E2D" w:rsidP="00DC5CA2">
      <w:pPr>
        <w:pStyle w:val="Testonotaapidipagina"/>
        <w:ind w:firstLine="0"/>
      </w:pPr>
      <w:r>
        <w:rPr>
          <w:rStyle w:val="Rimandonotaapidipagina"/>
        </w:rPr>
        <w:footnoteRef/>
      </w:r>
      <w:r>
        <w:t xml:space="preserve"> </w:t>
      </w:r>
      <w:r w:rsidRPr="00DC5CA2">
        <w:t>Azerbaijanis refer to this region as Zangezur, while Armenians call it Syunik. The term Zangezur holds significant relevance today, as it is frequently mentioned in the media in connection with the envisioned link between Azerbaijan and its exclave Nakhchivan through Armenian territory, as outlined in the 2020 ceasefire agreement. Additionally, it is associated with the so-called "Western Azerbaijan" theory. According to Broers (2019</w:t>
      </w:r>
      <w:r>
        <w:t>,</w:t>
      </w:r>
      <w:r w:rsidRPr="00DC5CA2">
        <w:t xml:space="preserve"> 119), this theory posits that the present-day Armenian territory was ruled by various Turkic tribes, empires, and khanates from the Late Middle Ages, and that Armenians settled there only after the signing of the Treaty of Turkmenchay in 1828, which followed the Russo-Persian War of 1826–1828. This concept has garnered official endorsement from the Azerbaijani government and has been frequently referenced by its current president, Ilham Aliyev, who regularly describes "Irevan" (Yerevan), "Göyçə" (Lake Sevan), and "Zangazur" (Syunik) as lands that were once and will be future "Azerbaijani territories."</w:t>
      </w:r>
    </w:p>
  </w:footnote>
  <w:footnote w:id="8">
    <w:p w14:paraId="30582026" w14:textId="7DDB9155" w:rsidR="00CA7E2D" w:rsidRPr="001C6076" w:rsidRDefault="00CA7E2D" w:rsidP="001C6076">
      <w:pPr>
        <w:pStyle w:val="Testonotaapidipagina"/>
        <w:ind w:firstLine="0"/>
      </w:pPr>
      <w:r>
        <w:rPr>
          <w:rStyle w:val="Rimandonotaapidipagina"/>
        </w:rPr>
        <w:footnoteRef/>
      </w:r>
      <w:r>
        <w:t xml:space="preserve"> </w:t>
      </w:r>
      <w:r w:rsidRPr="001C6076">
        <w:t xml:space="preserve">GUAM was founded in October 1997 when the leaders of Georgia, Ukraine, Azerbaijan, and Moldova issued a joint communiqué to establish a quadrilateral partnership aimed at enhancing stability and security in Europe. Four years later, in June 2001, the leaders of these states signed the Yalta Charter, which outlined the objectives and principles of their collaboration. The partnership was later expanded to include Uzbekistan. However, </w:t>
      </w:r>
      <w:r>
        <w:t>Tashkent</w:t>
      </w:r>
      <w:r w:rsidRPr="001C6076">
        <w:t xml:space="preserve"> withdrew from the organization in 2005 when GUAM opted to pursue deeper European integration by forming partnerships with the EU) and the NATO to create a unified security framework.</w:t>
      </w:r>
    </w:p>
  </w:footnote>
  <w:footnote w:id="9">
    <w:p w14:paraId="785B531A" w14:textId="0C8E09B3" w:rsidR="00CA7E2D" w:rsidRPr="00617E9A" w:rsidRDefault="00CA7E2D" w:rsidP="00DC5CA2">
      <w:pPr>
        <w:pStyle w:val="Testonotaapidipagina"/>
        <w:ind w:firstLine="0"/>
      </w:pPr>
      <w:r>
        <w:rPr>
          <w:rStyle w:val="Rimandonotaapidipagina"/>
        </w:rPr>
        <w:footnoteRef/>
      </w:r>
      <w:r>
        <w:t xml:space="preserve"> </w:t>
      </w:r>
      <w:r w:rsidRPr="00617E9A">
        <w:t>The heroes of 1812 are the Russian soldiers who fought against Napoleon’s troops during the French invasion of Russia.</w:t>
      </w:r>
    </w:p>
  </w:footnote>
  <w:footnote w:id="10">
    <w:p w14:paraId="52CADFAB" w14:textId="45C3EE2A" w:rsidR="00CA7E2D" w:rsidRPr="001C6076" w:rsidRDefault="00CA7E2D" w:rsidP="001C6076">
      <w:pPr>
        <w:pStyle w:val="Testonotaapidipagina"/>
        <w:ind w:firstLine="0"/>
      </w:pPr>
      <w:r>
        <w:rPr>
          <w:rStyle w:val="Rimandonotaapidipagina"/>
        </w:rPr>
        <w:footnoteRef/>
      </w:r>
      <w:r>
        <w:t xml:space="preserve"> </w:t>
      </w:r>
      <w:r w:rsidRPr="001C6076">
        <w:t>Phenomenology is “a philosophy that is concerned with the question of how individuals make sense of the world around them and how in particular the philosopher should bracket out preconceptions in his or her grasp of that world” (Bryman 2012</w:t>
      </w:r>
      <w:r>
        <w:t>,</w:t>
      </w:r>
      <w:r w:rsidRPr="001C6076">
        <w:t xml:space="preserve"> 30).</w:t>
      </w:r>
      <w:r>
        <w:t xml:space="preserve"> </w:t>
      </w:r>
    </w:p>
  </w:footnote>
  <w:footnote w:id="11">
    <w:p w14:paraId="624EBB8C" w14:textId="03A03029" w:rsidR="00CA7E2D" w:rsidRPr="001A7DBD" w:rsidRDefault="00CA7E2D" w:rsidP="001A7DBD">
      <w:pPr>
        <w:pStyle w:val="Testonotaapidipagina"/>
        <w:ind w:firstLine="0"/>
      </w:pPr>
      <w:r>
        <w:rPr>
          <w:rStyle w:val="Rimandonotaapidipagina"/>
        </w:rPr>
        <w:footnoteRef/>
      </w:r>
      <w:r>
        <w:t xml:space="preserve"> </w:t>
      </w:r>
      <w:r w:rsidRPr="001A7DBD">
        <w:t>Hermeneutics is a discipline based on the assumption that “the analyst of a text must seek to bring out the meanings of a text from the perspective of its author. This will entail attention to the social and historical context within which the text was produced” (Bryman 2012</w:t>
      </w:r>
      <w:r>
        <w:t>,</w:t>
      </w:r>
      <w:r w:rsidRPr="001A7DBD">
        <w:t xml:space="preserve"> 561).</w:t>
      </w:r>
    </w:p>
  </w:footnote>
  <w:footnote w:id="12">
    <w:p w14:paraId="327DE9DD" w14:textId="268FF4D6" w:rsidR="00CA7E2D" w:rsidRPr="001A7DBD" w:rsidRDefault="00CA7E2D" w:rsidP="001A7DBD">
      <w:pPr>
        <w:pStyle w:val="Testonotaapidipagina"/>
        <w:ind w:firstLine="0"/>
      </w:pPr>
      <w:r>
        <w:rPr>
          <w:rStyle w:val="Rimandonotaapidipagina"/>
        </w:rPr>
        <w:footnoteRef/>
      </w:r>
      <w:r>
        <w:t xml:space="preserve"> </w:t>
      </w:r>
      <w:r w:rsidRPr="001A7DBD">
        <w:t>Symbolic interactionism is “a theoretical perspective in sociology and social psychology that views social interaction as taking place in terms of the meanings actors attach to action and things” (Bryman 2012</w:t>
      </w:r>
      <w:r>
        <w:t>,</w:t>
      </w:r>
      <w:r w:rsidRPr="001A7DBD">
        <w:t xml:space="preserve"> 716).</w:t>
      </w:r>
    </w:p>
  </w:footnote>
  <w:footnote w:id="13">
    <w:p w14:paraId="6ECA3AE0" w14:textId="39B6220B" w:rsidR="00CA7E2D" w:rsidRPr="001A7DBD" w:rsidRDefault="00CA7E2D" w:rsidP="001A7DBD">
      <w:pPr>
        <w:pStyle w:val="Testonotaapidipagina"/>
        <w:ind w:firstLine="0"/>
      </w:pPr>
      <w:r>
        <w:rPr>
          <w:rStyle w:val="Rimandonotaapidipagina"/>
        </w:rPr>
        <w:footnoteRef/>
      </w:r>
      <w:r>
        <w:t xml:space="preserve"> </w:t>
      </w:r>
      <w:r w:rsidRPr="001A7DBD">
        <w:t>“Verstehen” posits that facts and observations are not standalone elements that can be reduced to the universal laws typical of the natural sciences. Instead, making sense of what is being studied requires a comprehensive grasp of the underlying motivations behind actions (Steele 2008</w:t>
      </w:r>
      <w:r>
        <w:t xml:space="preserve">, </w:t>
      </w:r>
      <w:r w:rsidRPr="001A7DBD">
        <w:t>6)</w:t>
      </w:r>
      <w:r>
        <w:t xml:space="preserve"> </w:t>
      </w:r>
    </w:p>
  </w:footnote>
  <w:footnote w:id="14">
    <w:p w14:paraId="4780EEE7" w14:textId="2E3A9A78" w:rsidR="00CA7E2D" w:rsidRPr="00617E9A" w:rsidRDefault="00CA7E2D" w:rsidP="001A7DBD">
      <w:pPr>
        <w:pStyle w:val="Testonotaapidipagina"/>
        <w:ind w:firstLine="0"/>
      </w:pPr>
      <w:r>
        <w:rPr>
          <w:rStyle w:val="Rimandonotaapidipagina"/>
        </w:rPr>
        <w:footnoteRef/>
      </w:r>
      <w:r>
        <w:t xml:space="preserve"> </w:t>
      </w:r>
      <w:r w:rsidRPr="00617E9A">
        <w:t>Before the collapse of the Soviet Union, Armenians made up the largest minority in Georgia. Since then, their numbers have declined, although they still reside in Georgia's capital, Tbilisi, in the breakaway republic of Abkhazia, and in the rural Samtskhe-Javakheti region near the Armenian border (Baluvelt &amp; Berglund 2016).</w:t>
      </w:r>
    </w:p>
  </w:footnote>
  <w:footnote w:id="15">
    <w:p w14:paraId="64AD1AE9" w14:textId="1CD763FE" w:rsidR="00CA7E2D" w:rsidRPr="00617E9A" w:rsidRDefault="00CA7E2D" w:rsidP="00617E9A">
      <w:pPr>
        <w:pStyle w:val="Testonotaapidipagina"/>
        <w:ind w:firstLine="0"/>
      </w:pPr>
      <w:r>
        <w:rPr>
          <w:rStyle w:val="Rimandonotaapidipagina"/>
        </w:rPr>
        <w:footnoteRef/>
      </w:r>
      <w:r>
        <w:t xml:space="preserve"> </w:t>
      </w:r>
      <w:r w:rsidRPr="00617E9A">
        <w:t>Khackar (</w:t>
      </w:r>
      <w:r w:rsidRPr="00617E9A">
        <w:rPr>
          <w:lang w:val="it-IT"/>
        </w:rPr>
        <w:t>խաչքար</w:t>
      </w:r>
      <w:r w:rsidRPr="00617E9A">
        <w:t>) is an outdoor stele sculpted from stone by artisans in Armenia and the Armenian diaspora.</w:t>
      </w:r>
    </w:p>
  </w:footnote>
  <w:footnote w:id="16">
    <w:p w14:paraId="3A09652A" w14:textId="335EA8A6" w:rsidR="00CA7E2D" w:rsidRPr="00617E9A" w:rsidRDefault="00CA7E2D" w:rsidP="00617E9A">
      <w:pPr>
        <w:pStyle w:val="Testonotaapidipagina"/>
        <w:ind w:firstLine="0"/>
      </w:pPr>
      <w:r>
        <w:rPr>
          <w:rStyle w:val="Rimandonotaapidipagina"/>
        </w:rPr>
        <w:footnoteRef/>
      </w:r>
      <w:r>
        <w:t xml:space="preserve"> </w:t>
      </w:r>
      <w:r w:rsidRPr="00617E9A">
        <w:t>The Armenian genocide, referred to in Armenian as “great evil” (Mets Yeghern/Մեծ եղեռն), refers to the systematic extermination of Armenian Christians living in the Ottoman Empire from 1915 to the fall of 1916. This event is pivotal to Armenian political identity and will be referenced multiple times throughout the dissertation.</w:t>
      </w:r>
    </w:p>
  </w:footnote>
  <w:footnote w:id="17">
    <w:p w14:paraId="4FD1F479" w14:textId="75308008" w:rsidR="00CA7E2D" w:rsidRPr="00047E6C" w:rsidRDefault="00CA7E2D" w:rsidP="00DC5CA2">
      <w:pPr>
        <w:pStyle w:val="Testonotaapidipagina"/>
        <w:ind w:firstLine="0"/>
      </w:pPr>
      <w:r>
        <w:rPr>
          <w:rStyle w:val="Rimandonotaapidipagina"/>
        </w:rPr>
        <w:footnoteRef/>
      </w:r>
      <w:r>
        <w:t xml:space="preserve"> </w:t>
      </w:r>
      <w:r w:rsidRPr="00DC5CA2">
        <w:t>In Russia, the South Caucasus is commonly designated as "Transcaucasia" or "Zakavaz’e" (Закавказьe).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F5D4"/>
    <w:multiLevelType w:val="hybridMultilevel"/>
    <w:tmpl w:val="B62AD80A"/>
    <w:lvl w:ilvl="0" w:tplc="A96642E4">
      <w:numFmt w:val="bullet"/>
      <w:lvlText w:val="-"/>
      <w:lvlJc w:val="left"/>
      <w:pPr>
        <w:ind w:left="10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A68F89E">
      <w:numFmt w:val="bullet"/>
      <w:lvlText w:val="•"/>
      <w:lvlJc w:val="left"/>
      <w:pPr>
        <w:ind w:left="1996" w:hanging="360"/>
      </w:pPr>
      <w:rPr>
        <w:rFonts w:hint="default"/>
        <w:lang w:val="en-US" w:eastAsia="en-US" w:bidi="ar-SA"/>
      </w:rPr>
    </w:lvl>
    <w:lvl w:ilvl="2" w:tplc="57E8F55E">
      <w:numFmt w:val="bullet"/>
      <w:lvlText w:val="•"/>
      <w:lvlJc w:val="left"/>
      <w:pPr>
        <w:ind w:left="2892" w:hanging="360"/>
      </w:pPr>
      <w:rPr>
        <w:rFonts w:hint="default"/>
        <w:lang w:val="en-US" w:eastAsia="en-US" w:bidi="ar-SA"/>
      </w:rPr>
    </w:lvl>
    <w:lvl w:ilvl="3" w:tplc="D3F4E120">
      <w:numFmt w:val="bullet"/>
      <w:lvlText w:val="•"/>
      <w:lvlJc w:val="left"/>
      <w:pPr>
        <w:ind w:left="3788" w:hanging="360"/>
      </w:pPr>
      <w:rPr>
        <w:rFonts w:hint="default"/>
        <w:lang w:val="en-US" w:eastAsia="en-US" w:bidi="ar-SA"/>
      </w:rPr>
    </w:lvl>
    <w:lvl w:ilvl="4" w:tplc="3438B796">
      <w:numFmt w:val="bullet"/>
      <w:lvlText w:val="•"/>
      <w:lvlJc w:val="left"/>
      <w:pPr>
        <w:ind w:left="4684" w:hanging="360"/>
      </w:pPr>
      <w:rPr>
        <w:rFonts w:hint="default"/>
        <w:lang w:val="en-US" w:eastAsia="en-US" w:bidi="ar-SA"/>
      </w:rPr>
    </w:lvl>
    <w:lvl w:ilvl="5" w:tplc="AEBAAA46">
      <w:numFmt w:val="bullet"/>
      <w:lvlText w:val="•"/>
      <w:lvlJc w:val="left"/>
      <w:pPr>
        <w:ind w:left="5581" w:hanging="360"/>
      </w:pPr>
      <w:rPr>
        <w:rFonts w:hint="default"/>
        <w:lang w:val="en-US" w:eastAsia="en-US" w:bidi="ar-SA"/>
      </w:rPr>
    </w:lvl>
    <w:lvl w:ilvl="6" w:tplc="B13CEF8E">
      <w:numFmt w:val="bullet"/>
      <w:lvlText w:val="•"/>
      <w:lvlJc w:val="left"/>
      <w:pPr>
        <w:ind w:left="6477" w:hanging="360"/>
      </w:pPr>
      <w:rPr>
        <w:rFonts w:hint="default"/>
        <w:lang w:val="en-US" w:eastAsia="en-US" w:bidi="ar-SA"/>
      </w:rPr>
    </w:lvl>
    <w:lvl w:ilvl="7" w:tplc="98FA30CA">
      <w:numFmt w:val="bullet"/>
      <w:lvlText w:val="•"/>
      <w:lvlJc w:val="left"/>
      <w:pPr>
        <w:ind w:left="7373" w:hanging="360"/>
      </w:pPr>
      <w:rPr>
        <w:rFonts w:hint="default"/>
        <w:lang w:val="en-US" w:eastAsia="en-US" w:bidi="ar-SA"/>
      </w:rPr>
    </w:lvl>
    <w:lvl w:ilvl="8" w:tplc="304E76FA">
      <w:numFmt w:val="bullet"/>
      <w:lvlText w:val="•"/>
      <w:lvlJc w:val="left"/>
      <w:pPr>
        <w:ind w:left="8269" w:hanging="360"/>
      </w:pPr>
      <w:rPr>
        <w:rFonts w:hint="default"/>
        <w:lang w:val="en-US" w:eastAsia="en-US" w:bidi="ar-SA"/>
      </w:rPr>
    </w:lvl>
  </w:abstractNum>
  <w:abstractNum w:abstractNumId="1" w15:restartNumberingAfterBreak="0">
    <w:nsid w:val="14855EB2"/>
    <w:multiLevelType w:val="hybridMultilevel"/>
    <w:tmpl w:val="B5F2B5DE"/>
    <w:lvl w:ilvl="0" w:tplc="948A0EF6">
      <w:numFmt w:val="bullet"/>
      <w:lvlText w:val="-"/>
      <w:lvlJc w:val="left"/>
      <w:pPr>
        <w:ind w:left="1092" w:hanging="360"/>
      </w:pPr>
      <w:rPr>
        <w:rFonts w:ascii="Times New Roman" w:eastAsia="Times New Roman" w:hAnsi="Times New Roman" w:cs="Times New Roman" w:hint="default"/>
        <w:spacing w:val="0"/>
        <w:w w:val="100"/>
        <w:lang w:val="en-US" w:eastAsia="en-US" w:bidi="ar-SA"/>
      </w:rPr>
    </w:lvl>
    <w:lvl w:ilvl="1" w:tplc="756E5C9C">
      <w:numFmt w:val="bullet"/>
      <w:lvlText w:val="•"/>
      <w:lvlJc w:val="left"/>
      <w:pPr>
        <w:ind w:left="1996" w:hanging="360"/>
      </w:pPr>
      <w:rPr>
        <w:rFonts w:hint="default"/>
        <w:lang w:val="en-US" w:eastAsia="en-US" w:bidi="ar-SA"/>
      </w:rPr>
    </w:lvl>
    <w:lvl w:ilvl="2" w:tplc="5EE29614">
      <w:numFmt w:val="bullet"/>
      <w:lvlText w:val="•"/>
      <w:lvlJc w:val="left"/>
      <w:pPr>
        <w:ind w:left="2892" w:hanging="360"/>
      </w:pPr>
      <w:rPr>
        <w:rFonts w:hint="default"/>
        <w:lang w:val="en-US" w:eastAsia="en-US" w:bidi="ar-SA"/>
      </w:rPr>
    </w:lvl>
    <w:lvl w:ilvl="3" w:tplc="0E60B776">
      <w:numFmt w:val="bullet"/>
      <w:lvlText w:val="•"/>
      <w:lvlJc w:val="left"/>
      <w:pPr>
        <w:ind w:left="3788" w:hanging="360"/>
      </w:pPr>
      <w:rPr>
        <w:rFonts w:hint="default"/>
        <w:lang w:val="en-US" w:eastAsia="en-US" w:bidi="ar-SA"/>
      </w:rPr>
    </w:lvl>
    <w:lvl w:ilvl="4" w:tplc="BA4C83EC">
      <w:numFmt w:val="bullet"/>
      <w:lvlText w:val="•"/>
      <w:lvlJc w:val="left"/>
      <w:pPr>
        <w:ind w:left="4684" w:hanging="360"/>
      </w:pPr>
      <w:rPr>
        <w:rFonts w:hint="default"/>
        <w:lang w:val="en-US" w:eastAsia="en-US" w:bidi="ar-SA"/>
      </w:rPr>
    </w:lvl>
    <w:lvl w:ilvl="5" w:tplc="8E3AC346">
      <w:numFmt w:val="bullet"/>
      <w:lvlText w:val="•"/>
      <w:lvlJc w:val="left"/>
      <w:pPr>
        <w:ind w:left="5581" w:hanging="360"/>
      </w:pPr>
      <w:rPr>
        <w:rFonts w:hint="default"/>
        <w:lang w:val="en-US" w:eastAsia="en-US" w:bidi="ar-SA"/>
      </w:rPr>
    </w:lvl>
    <w:lvl w:ilvl="6" w:tplc="EE2238C6">
      <w:numFmt w:val="bullet"/>
      <w:lvlText w:val="•"/>
      <w:lvlJc w:val="left"/>
      <w:pPr>
        <w:ind w:left="6477" w:hanging="360"/>
      </w:pPr>
      <w:rPr>
        <w:rFonts w:hint="default"/>
        <w:lang w:val="en-US" w:eastAsia="en-US" w:bidi="ar-SA"/>
      </w:rPr>
    </w:lvl>
    <w:lvl w:ilvl="7" w:tplc="593E1448">
      <w:numFmt w:val="bullet"/>
      <w:lvlText w:val="•"/>
      <w:lvlJc w:val="left"/>
      <w:pPr>
        <w:ind w:left="7373" w:hanging="360"/>
      </w:pPr>
      <w:rPr>
        <w:rFonts w:hint="default"/>
        <w:lang w:val="en-US" w:eastAsia="en-US" w:bidi="ar-SA"/>
      </w:rPr>
    </w:lvl>
    <w:lvl w:ilvl="8" w:tplc="7272D94A">
      <w:numFmt w:val="bullet"/>
      <w:lvlText w:val="•"/>
      <w:lvlJc w:val="left"/>
      <w:pPr>
        <w:ind w:left="8269" w:hanging="360"/>
      </w:pPr>
      <w:rPr>
        <w:rFonts w:hint="default"/>
        <w:lang w:val="en-US" w:eastAsia="en-US" w:bidi="ar-SA"/>
      </w:rPr>
    </w:lvl>
  </w:abstractNum>
  <w:abstractNum w:abstractNumId="2" w15:restartNumberingAfterBreak="0">
    <w:nsid w:val="16279BEF"/>
    <w:multiLevelType w:val="hybridMultilevel"/>
    <w:tmpl w:val="1E341576"/>
    <w:lvl w:ilvl="0" w:tplc="B700140A">
      <w:start w:val="25"/>
      <w:numFmt w:val="decimal"/>
      <w:lvlText w:val="%1."/>
      <w:lvlJc w:val="left"/>
      <w:pPr>
        <w:ind w:left="110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CCCD446">
      <w:numFmt w:val="bullet"/>
      <w:lvlText w:val="-"/>
      <w:lvlJc w:val="left"/>
      <w:pPr>
        <w:ind w:left="1092" w:hanging="360"/>
      </w:pPr>
      <w:rPr>
        <w:rFonts w:ascii="Times New Roman" w:eastAsia="Times New Roman" w:hAnsi="Times New Roman" w:cs="Times New Roman" w:hint="default"/>
        <w:spacing w:val="0"/>
        <w:w w:val="100"/>
        <w:lang w:val="en-US" w:eastAsia="en-US" w:bidi="ar-SA"/>
      </w:rPr>
    </w:lvl>
    <w:lvl w:ilvl="2" w:tplc="2C38D6FE">
      <w:numFmt w:val="bullet"/>
      <w:lvlText w:val="•"/>
      <w:lvlJc w:val="left"/>
      <w:pPr>
        <w:ind w:left="2892" w:hanging="360"/>
      </w:pPr>
      <w:rPr>
        <w:rFonts w:hint="default"/>
        <w:lang w:val="en-US" w:eastAsia="en-US" w:bidi="ar-SA"/>
      </w:rPr>
    </w:lvl>
    <w:lvl w:ilvl="3" w:tplc="8FF8CA0A">
      <w:numFmt w:val="bullet"/>
      <w:lvlText w:val="•"/>
      <w:lvlJc w:val="left"/>
      <w:pPr>
        <w:ind w:left="3788" w:hanging="360"/>
      </w:pPr>
      <w:rPr>
        <w:rFonts w:hint="default"/>
        <w:lang w:val="en-US" w:eastAsia="en-US" w:bidi="ar-SA"/>
      </w:rPr>
    </w:lvl>
    <w:lvl w:ilvl="4" w:tplc="9C748094">
      <w:numFmt w:val="bullet"/>
      <w:lvlText w:val="•"/>
      <w:lvlJc w:val="left"/>
      <w:pPr>
        <w:ind w:left="4684" w:hanging="360"/>
      </w:pPr>
      <w:rPr>
        <w:rFonts w:hint="default"/>
        <w:lang w:val="en-US" w:eastAsia="en-US" w:bidi="ar-SA"/>
      </w:rPr>
    </w:lvl>
    <w:lvl w:ilvl="5" w:tplc="176E273A">
      <w:numFmt w:val="bullet"/>
      <w:lvlText w:val="•"/>
      <w:lvlJc w:val="left"/>
      <w:pPr>
        <w:ind w:left="5581" w:hanging="360"/>
      </w:pPr>
      <w:rPr>
        <w:rFonts w:hint="default"/>
        <w:lang w:val="en-US" w:eastAsia="en-US" w:bidi="ar-SA"/>
      </w:rPr>
    </w:lvl>
    <w:lvl w:ilvl="6" w:tplc="51DCB3B6">
      <w:numFmt w:val="bullet"/>
      <w:lvlText w:val="•"/>
      <w:lvlJc w:val="left"/>
      <w:pPr>
        <w:ind w:left="6477" w:hanging="360"/>
      </w:pPr>
      <w:rPr>
        <w:rFonts w:hint="default"/>
        <w:lang w:val="en-US" w:eastAsia="en-US" w:bidi="ar-SA"/>
      </w:rPr>
    </w:lvl>
    <w:lvl w:ilvl="7" w:tplc="C5DACFC8">
      <w:numFmt w:val="bullet"/>
      <w:lvlText w:val="•"/>
      <w:lvlJc w:val="left"/>
      <w:pPr>
        <w:ind w:left="7373" w:hanging="360"/>
      </w:pPr>
      <w:rPr>
        <w:rFonts w:hint="default"/>
        <w:lang w:val="en-US" w:eastAsia="en-US" w:bidi="ar-SA"/>
      </w:rPr>
    </w:lvl>
    <w:lvl w:ilvl="8" w:tplc="CAEAF4D8">
      <w:numFmt w:val="bullet"/>
      <w:lvlText w:val="•"/>
      <w:lvlJc w:val="left"/>
      <w:pPr>
        <w:ind w:left="8269" w:hanging="360"/>
      </w:pPr>
      <w:rPr>
        <w:rFonts w:hint="default"/>
        <w:lang w:val="en-US" w:eastAsia="en-US" w:bidi="ar-SA"/>
      </w:rPr>
    </w:lvl>
  </w:abstractNum>
  <w:abstractNum w:abstractNumId="3" w15:restartNumberingAfterBreak="0">
    <w:nsid w:val="281C626A"/>
    <w:multiLevelType w:val="multilevel"/>
    <w:tmpl w:val="DB4A5FB0"/>
    <w:lvl w:ilvl="0">
      <w:start w:val="1"/>
      <w:numFmt w:val="decimal"/>
      <w:lvlText w:val="%1."/>
      <w:lvlJc w:val="left"/>
      <w:pPr>
        <w:ind w:left="720" w:hanging="360"/>
      </w:pPr>
      <w:rPr>
        <w:rFonts w:hint="default"/>
      </w:rPr>
    </w:lvl>
    <w:lvl w:ilvl="1">
      <w:start w:val="1"/>
      <w:numFmt w:val="decimal"/>
      <w:lvlText w:val="%2."/>
      <w:lvlJc w:val="left"/>
      <w:pPr>
        <w:ind w:left="785"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4" w15:restartNumberingAfterBreak="0">
    <w:nsid w:val="29AD3107"/>
    <w:multiLevelType w:val="multilevel"/>
    <w:tmpl w:val="3BBE79B6"/>
    <w:lvl w:ilvl="0">
      <w:start w:val="5"/>
      <w:numFmt w:val="decimal"/>
      <w:lvlText w:val="%1"/>
      <w:lvlJc w:val="left"/>
      <w:pPr>
        <w:ind w:left="560" w:hanging="420"/>
      </w:pPr>
      <w:rPr>
        <w:rFonts w:hint="default"/>
        <w:lang w:val="en-US" w:eastAsia="en-US" w:bidi="ar-SA"/>
      </w:rPr>
    </w:lvl>
    <w:lvl w:ilvl="1">
      <w:start w:val="1"/>
      <w:numFmt w:val="decimal"/>
      <w:lvlText w:val="%1.%2."/>
      <w:lvlJc w:val="left"/>
      <w:pPr>
        <w:ind w:left="560"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375" w:hanging="420"/>
      </w:pPr>
      <w:rPr>
        <w:rFonts w:hint="default"/>
        <w:lang w:val="en-US" w:eastAsia="en-US" w:bidi="ar-SA"/>
      </w:rPr>
    </w:lvl>
    <w:lvl w:ilvl="3">
      <w:numFmt w:val="bullet"/>
      <w:lvlText w:val="•"/>
      <w:lvlJc w:val="left"/>
      <w:pPr>
        <w:ind w:left="3283" w:hanging="420"/>
      </w:pPr>
      <w:rPr>
        <w:rFonts w:hint="default"/>
        <w:lang w:val="en-US" w:eastAsia="en-US" w:bidi="ar-SA"/>
      </w:rPr>
    </w:lvl>
    <w:lvl w:ilvl="4">
      <w:numFmt w:val="bullet"/>
      <w:lvlText w:val="•"/>
      <w:lvlJc w:val="left"/>
      <w:pPr>
        <w:ind w:left="4190" w:hanging="420"/>
      </w:pPr>
      <w:rPr>
        <w:rFonts w:hint="default"/>
        <w:lang w:val="en-US" w:eastAsia="en-US" w:bidi="ar-SA"/>
      </w:rPr>
    </w:lvl>
    <w:lvl w:ilvl="5">
      <w:numFmt w:val="bullet"/>
      <w:lvlText w:val="•"/>
      <w:lvlJc w:val="left"/>
      <w:pPr>
        <w:ind w:left="5098" w:hanging="420"/>
      </w:pPr>
      <w:rPr>
        <w:rFonts w:hint="default"/>
        <w:lang w:val="en-US" w:eastAsia="en-US" w:bidi="ar-SA"/>
      </w:rPr>
    </w:lvl>
    <w:lvl w:ilvl="6">
      <w:numFmt w:val="bullet"/>
      <w:lvlText w:val="•"/>
      <w:lvlJc w:val="left"/>
      <w:pPr>
        <w:ind w:left="6006" w:hanging="420"/>
      </w:pPr>
      <w:rPr>
        <w:rFonts w:hint="default"/>
        <w:lang w:val="en-US" w:eastAsia="en-US" w:bidi="ar-SA"/>
      </w:rPr>
    </w:lvl>
    <w:lvl w:ilvl="7">
      <w:numFmt w:val="bullet"/>
      <w:lvlText w:val="•"/>
      <w:lvlJc w:val="left"/>
      <w:pPr>
        <w:ind w:left="6913" w:hanging="420"/>
      </w:pPr>
      <w:rPr>
        <w:rFonts w:hint="default"/>
        <w:lang w:val="en-US" w:eastAsia="en-US" w:bidi="ar-SA"/>
      </w:rPr>
    </w:lvl>
    <w:lvl w:ilvl="8">
      <w:numFmt w:val="bullet"/>
      <w:lvlText w:val="•"/>
      <w:lvlJc w:val="left"/>
      <w:pPr>
        <w:ind w:left="7821" w:hanging="420"/>
      </w:pPr>
      <w:rPr>
        <w:rFonts w:hint="default"/>
        <w:lang w:val="en-US" w:eastAsia="en-US" w:bidi="ar-SA"/>
      </w:rPr>
    </w:lvl>
  </w:abstractNum>
  <w:abstractNum w:abstractNumId="5" w15:restartNumberingAfterBreak="0">
    <w:nsid w:val="2E0A1235"/>
    <w:multiLevelType w:val="hybridMultilevel"/>
    <w:tmpl w:val="573E5FF6"/>
    <w:lvl w:ilvl="0" w:tplc="D78CBE7A">
      <w:numFmt w:val="bullet"/>
      <w:lvlText w:val="-"/>
      <w:lvlJc w:val="left"/>
      <w:pPr>
        <w:ind w:left="282" w:hanging="138"/>
      </w:pPr>
      <w:rPr>
        <w:rFonts w:ascii="Times New Roman" w:eastAsia="Times New Roman" w:hAnsi="Times New Roman" w:cs="Times New Roman" w:hint="default"/>
        <w:b w:val="0"/>
        <w:bCs w:val="0"/>
        <w:i w:val="0"/>
        <w:iCs w:val="0"/>
        <w:spacing w:val="0"/>
        <w:w w:val="100"/>
        <w:sz w:val="24"/>
        <w:szCs w:val="24"/>
        <w:lang w:val="en-US" w:eastAsia="en-US" w:bidi="ar-SA"/>
      </w:rPr>
    </w:lvl>
    <w:lvl w:ilvl="1" w:tplc="E3FCCC9A">
      <w:numFmt w:val="bullet"/>
      <w:lvlText w:val="•"/>
      <w:lvlJc w:val="left"/>
      <w:pPr>
        <w:ind w:left="1258" w:hanging="138"/>
      </w:pPr>
      <w:rPr>
        <w:rFonts w:hint="default"/>
        <w:lang w:val="en-US" w:eastAsia="en-US" w:bidi="ar-SA"/>
      </w:rPr>
    </w:lvl>
    <w:lvl w:ilvl="2" w:tplc="E61ED42E">
      <w:numFmt w:val="bullet"/>
      <w:lvlText w:val="•"/>
      <w:lvlJc w:val="left"/>
      <w:pPr>
        <w:ind w:left="2236" w:hanging="138"/>
      </w:pPr>
      <w:rPr>
        <w:rFonts w:hint="default"/>
        <w:lang w:val="en-US" w:eastAsia="en-US" w:bidi="ar-SA"/>
      </w:rPr>
    </w:lvl>
    <w:lvl w:ilvl="3" w:tplc="73A29CE4">
      <w:numFmt w:val="bullet"/>
      <w:lvlText w:val="•"/>
      <w:lvlJc w:val="left"/>
      <w:pPr>
        <w:ind w:left="3214" w:hanging="138"/>
      </w:pPr>
      <w:rPr>
        <w:rFonts w:hint="default"/>
        <w:lang w:val="en-US" w:eastAsia="en-US" w:bidi="ar-SA"/>
      </w:rPr>
    </w:lvl>
    <w:lvl w:ilvl="4" w:tplc="582E77A4">
      <w:numFmt w:val="bullet"/>
      <w:lvlText w:val="•"/>
      <w:lvlJc w:val="left"/>
      <w:pPr>
        <w:ind w:left="4192" w:hanging="138"/>
      </w:pPr>
      <w:rPr>
        <w:rFonts w:hint="default"/>
        <w:lang w:val="en-US" w:eastAsia="en-US" w:bidi="ar-SA"/>
      </w:rPr>
    </w:lvl>
    <w:lvl w:ilvl="5" w:tplc="42A62EF6">
      <w:numFmt w:val="bullet"/>
      <w:lvlText w:val="•"/>
      <w:lvlJc w:val="left"/>
      <w:pPr>
        <w:ind w:left="5171" w:hanging="138"/>
      </w:pPr>
      <w:rPr>
        <w:rFonts w:hint="default"/>
        <w:lang w:val="en-US" w:eastAsia="en-US" w:bidi="ar-SA"/>
      </w:rPr>
    </w:lvl>
    <w:lvl w:ilvl="6" w:tplc="E2D478D2">
      <w:numFmt w:val="bullet"/>
      <w:lvlText w:val="•"/>
      <w:lvlJc w:val="left"/>
      <w:pPr>
        <w:ind w:left="6149" w:hanging="138"/>
      </w:pPr>
      <w:rPr>
        <w:rFonts w:hint="default"/>
        <w:lang w:val="en-US" w:eastAsia="en-US" w:bidi="ar-SA"/>
      </w:rPr>
    </w:lvl>
    <w:lvl w:ilvl="7" w:tplc="6FC0944A">
      <w:numFmt w:val="bullet"/>
      <w:lvlText w:val="•"/>
      <w:lvlJc w:val="left"/>
      <w:pPr>
        <w:ind w:left="7127" w:hanging="138"/>
      </w:pPr>
      <w:rPr>
        <w:rFonts w:hint="default"/>
        <w:lang w:val="en-US" w:eastAsia="en-US" w:bidi="ar-SA"/>
      </w:rPr>
    </w:lvl>
    <w:lvl w:ilvl="8" w:tplc="67CA3DD8">
      <w:numFmt w:val="bullet"/>
      <w:lvlText w:val="•"/>
      <w:lvlJc w:val="left"/>
      <w:pPr>
        <w:ind w:left="8105" w:hanging="138"/>
      </w:pPr>
      <w:rPr>
        <w:rFonts w:hint="default"/>
        <w:lang w:val="en-US" w:eastAsia="en-US" w:bidi="ar-SA"/>
      </w:rPr>
    </w:lvl>
  </w:abstractNum>
  <w:abstractNum w:abstractNumId="6" w15:restartNumberingAfterBreak="0">
    <w:nsid w:val="3981FD05"/>
    <w:multiLevelType w:val="multilevel"/>
    <w:tmpl w:val="9E301AE0"/>
    <w:lvl w:ilvl="0">
      <w:start w:val="3"/>
      <w:numFmt w:val="decimal"/>
      <w:lvlText w:val="%1"/>
      <w:lvlJc w:val="left"/>
      <w:pPr>
        <w:ind w:left="848" w:hanging="708"/>
      </w:pPr>
      <w:rPr>
        <w:rFonts w:hint="default"/>
        <w:lang w:val="en-US" w:eastAsia="en-US" w:bidi="ar-SA"/>
      </w:rPr>
    </w:lvl>
    <w:lvl w:ilvl="1">
      <w:numFmt w:val="decimal"/>
      <w:lvlText w:val="%1.%2."/>
      <w:lvlJc w:val="left"/>
      <w:pPr>
        <w:ind w:left="848" w:hanging="70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002"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919" w:hanging="720"/>
      </w:pPr>
      <w:rPr>
        <w:rFonts w:hint="default"/>
        <w:lang w:val="en-US" w:eastAsia="en-US" w:bidi="ar-SA"/>
      </w:rPr>
    </w:lvl>
    <w:lvl w:ilvl="4">
      <w:numFmt w:val="bullet"/>
      <w:lvlText w:val="•"/>
      <w:lvlJc w:val="left"/>
      <w:pPr>
        <w:ind w:left="3879" w:hanging="720"/>
      </w:pPr>
      <w:rPr>
        <w:rFonts w:hint="default"/>
        <w:lang w:val="en-US" w:eastAsia="en-US" w:bidi="ar-SA"/>
      </w:rPr>
    </w:lvl>
    <w:lvl w:ilvl="5">
      <w:numFmt w:val="bullet"/>
      <w:lvlText w:val="•"/>
      <w:lvlJc w:val="left"/>
      <w:pPr>
        <w:ind w:left="4838" w:hanging="720"/>
      </w:pPr>
      <w:rPr>
        <w:rFonts w:hint="default"/>
        <w:lang w:val="en-US" w:eastAsia="en-US" w:bidi="ar-SA"/>
      </w:rPr>
    </w:lvl>
    <w:lvl w:ilvl="6">
      <w:numFmt w:val="bullet"/>
      <w:lvlText w:val="•"/>
      <w:lvlJc w:val="left"/>
      <w:pPr>
        <w:ind w:left="5798" w:hanging="720"/>
      </w:pPr>
      <w:rPr>
        <w:rFonts w:hint="default"/>
        <w:lang w:val="en-US" w:eastAsia="en-US" w:bidi="ar-SA"/>
      </w:rPr>
    </w:lvl>
    <w:lvl w:ilvl="7">
      <w:numFmt w:val="bullet"/>
      <w:lvlText w:val="•"/>
      <w:lvlJc w:val="left"/>
      <w:pPr>
        <w:ind w:left="6758" w:hanging="720"/>
      </w:pPr>
      <w:rPr>
        <w:rFonts w:hint="default"/>
        <w:lang w:val="en-US" w:eastAsia="en-US" w:bidi="ar-SA"/>
      </w:rPr>
    </w:lvl>
    <w:lvl w:ilvl="8">
      <w:numFmt w:val="bullet"/>
      <w:lvlText w:val="•"/>
      <w:lvlJc w:val="left"/>
      <w:pPr>
        <w:ind w:left="7717" w:hanging="720"/>
      </w:pPr>
      <w:rPr>
        <w:rFonts w:hint="default"/>
        <w:lang w:val="en-US" w:eastAsia="en-US" w:bidi="ar-SA"/>
      </w:rPr>
    </w:lvl>
  </w:abstractNum>
  <w:abstractNum w:abstractNumId="7" w15:restartNumberingAfterBreak="0">
    <w:nsid w:val="3EF1EE3B"/>
    <w:multiLevelType w:val="hybridMultilevel"/>
    <w:tmpl w:val="7FDCB440"/>
    <w:lvl w:ilvl="0" w:tplc="83886030">
      <w:numFmt w:val="bullet"/>
      <w:lvlText w:val="-"/>
      <w:lvlJc w:val="left"/>
      <w:pPr>
        <w:ind w:left="10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DE048A4">
      <w:numFmt w:val="bullet"/>
      <w:lvlText w:val="•"/>
      <w:lvlJc w:val="left"/>
      <w:pPr>
        <w:ind w:left="1996" w:hanging="360"/>
      </w:pPr>
      <w:rPr>
        <w:rFonts w:hint="default"/>
        <w:lang w:val="en-US" w:eastAsia="en-US" w:bidi="ar-SA"/>
      </w:rPr>
    </w:lvl>
    <w:lvl w:ilvl="2" w:tplc="4308E644">
      <w:numFmt w:val="bullet"/>
      <w:lvlText w:val="•"/>
      <w:lvlJc w:val="left"/>
      <w:pPr>
        <w:ind w:left="2892" w:hanging="360"/>
      </w:pPr>
      <w:rPr>
        <w:rFonts w:hint="default"/>
        <w:lang w:val="en-US" w:eastAsia="en-US" w:bidi="ar-SA"/>
      </w:rPr>
    </w:lvl>
    <w:lvl w:ilvl="3" w:tplc="81CC0480">
      <w:numFmt w:val="bullet"/>
      <w:lvlText w:val="•"/>
      <w:lvlJc w:val="left"/>
      <w:pPr>
        <w:ind w:left="3788" w:hanging="360"/>
      </w:pPr>
      <w:rPr>
        <w:rFonts w:hint="default"/>
        <w:lang w:val="en-US" w:eastAsia="en-US" w:bidi="ar-SA"/>
      </w:rPr>
    </w:lvl>
    <w:lvl w:ilvl="4" w:tplc="DD00CF92">
      <w:numFmt w:val="bullet"/>
      <w:lvlText w:val="•"/>
      <w:lvlJc w:val="left"/>
      <w:pPr>
        <w:ind w:left="4684" w:hanging="360"/>
      </w:pPr>
      <w:rPr>
        <w:rFonts w:hint="default"/>
        <w:lang w:val="en-US" w:eastAsia="en-US" w:bidi="ar-SA"/>
      </w:rPr>
    </w:lvl>
    <w:lvl w:ilvl="5" w:tplc="A59A92C4">
      <w:numFmt w:val="bullet"/>
      <w:lvlText w:val="•"/>
      <w:lvlJc w:val="left"/>
      <w:pPr>
        <w:ind w:left="5581" w:hanging="360"/>
      </w:pPr>
      <w:rPr>
        <w:rFonts w:hint="default"/>
        <w:lang w:val="en-US" w:eastAsia="en-US" w:bidi="ar-SA"/>
      </w:rPr>
    </w:lvl>
    <w:lvl w:ilvl="6" w:tplc="E54AFF7A">
      <w:numFmt w:val="bullet"/>
      <w:lvlText w:val="•"/>
      <w:lvlJc w:val="left"/>
      <w:pPr>
        <w:ind w:left="6477" w:hanging="360"/>
      </w:pPr>
      <w:rPr>
        <w:rFonts w:hint="default"/>
        <w:lang w:val="en-US" w:eastAsia="en-US" w:bidi="ar-SA"/>
      </w:rPr>
    </w:lvl>
    <w:lvl w:ilvl="7" w:tplc="933E5EEA">
      <w:numFmt w:val="bullet"/>
      <w:lvlText w:val="•"/>
      <w:lvlJc w:val="left"/>
      <w:pPr>
        <w:ind w:left="7373" w:hanging="360"/>
      </w:pPr>
      <w:rPr>
        <w:rFonts w:hint="default"/>
        <w:lang w:val="en-US" w:eastAsia="en-US" w:bidi="ar-SA"/>
      </w:rPr>
    </w:lvl>
    <w:lvl w:ilvl="8" w:tplc="B2725B96">
      <w:numFmt w:val="bullet"/>
      <w:lvlText w:val="•"/>
      <w:lvlJc w:val="left"/>
      <w:pPr>
        <w:ind w:left="8269" w:hanging="360"/>
      </w:pPr>
      <w:rPr>
        <w:rFonts w:hint="default"/>
        <w:lang w:val="en-US" w:eastAsia="en-US" w:bidi="ar-SA"/>
      </w:rPr>
    </w:lvl>
  </w:abstractNum>
  <w:abstractNum w:abstractNumId="8" w15:restartNumberingAfterBreak="0">
    <w:nsid w:val="48004170"/>
    <w:multiLevelType w:val="multilevel"/>
    <w:tmpl w:val="7FFA3B44"/>
    <w:lvl w:ilvl="0">
      <w:start w:val="5"/>
      <w:numFmt w:val="decimal"/>
      <w:lvlText w:val="%1"/>
      <w:lvlJc w:val="left"/>
      <w:pPr>
        <w:ind w:left="714" w:hanging="433"/>
      </w:pPr>
      <w:rPr>
        <w:rFonts w:hint="default"/>
        <w:lang w:val="en-US" w:eastAsia="en-US" w:bidi="ar-SA"/>
      </w:rPr>
    </w:lvl>
    <w:lvl w:ilvl="1">
      <w:start w:val="1"/>
      <w:numFmt w:val="decimal"/>
      <w:lvlText w:val="%1.%2."/>
      <w:lvlJc w:val="left"/>
      <w:pPr>
        <w:ind w:left="714" w:hanging="433"/>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588" w:hanging="433"/>
      </w:pPr>
      <w:rPr>
        <w:rFonts w:hint="default"/>
        <w:lang w:val="en-US" w:eastAsia="en-US" w:bidi="ar-SA"/>
      </w:rPr>
    </w:lvl>
    <w:lvl w:ilvl="3">
      <w:numFmt w:val="bullet"/>
      <w:lvlText w:val="•"/>
      <w:lvlJc w:val="left"/>
      <w:pPr>
        <w:ind w:left="3522" w:hanging="433"/>
      </w:pPr>
      <w:rPr>
        <w:rFonts w:hint="default"/>
        <w:lang w:val="en-US" w:eastAsia="en-US" w:bidi="ar-SA"/>
      </w:rPr>
    </w:lvl>
    <w:lvl w:ilvl="4">
      <w:numFmt w:val="bullet"/>
      <w:lvlText w:val="•"/>
      <w:lvlJc w:val="left"/>
      <w:pPr>
        <w:ind w:left="4456" w:hanging="433"/>
      </w:pPr>
      <w:rPr>
        <w:rFonts w:hint="default"/>
        <w:lang w:val="en-US" w:eastAsia="en-US" w:bidi="ar-SA"/>
      </w:rPr>
    </w:lvl>
    <w:lvl w:ilvl="5">
      <w:numFmt w:val="bullet"/>
      <w:lvlText w:val="•"/>
      <w:lvlJc w:val="left"/>
      <w:pPr>
        <w:ind w:left="5391" w:hanging="433"/>
      </w:pPr>
      <w:rPr>
        <w:rFonts w:hint="default"/>
        <w:lang w:val="en-US" w:eastAsia="en-US" w:bidi="ar-SA"/>
      </w:rPr>
    </w:lvl>
    <w:lvl w:ilvl="6">
      <w:numFmt w:val="bullet"/>
      <w:lvlText w:val="•"/>
      <w:lvlJc w:val="left"/>
      <w:pPr>
        <w:ind w:left="6325" w:hanging="433"/>
      </w:pPr>
      <w:rPr>
        <w:rFonts w:hint="default"/>
        <w:lang w:val="en-US" w:eastAsia="en-US" w:bidi="ar-SA"/>
      </w:rPr>
    </w:lvl>
    <w:lvl w:ilvl="7">
      <w:numFmt w:val="bullet"/>
      <w:lvlText w:val="•"/>
      <w:lvlJc w:val="left"/>
      <w:pPr>
        <w:ind w:left="7259" w:hanging="433"/>
      </w:pPr>
      <w:rPr>
        <w:rFonts w:hint="default"/>
        <w:lang w:val="en-US" w:eastAsia="en-US" w:bidi="ar-SA"/>
      </w:rPr>
    </w:lvl>
    <w:lvl w:ilvl="8">
      <w:numFmt w:val="bullet"/>
      <w:lvlText w:val="•"/>
      <w:lvlJc w:val="left"/>
      <w:pPr>
        <w:ind w:left="8193" w:hanging="433"/>
      </w:pPr>
      <w:rPr>
        <w:rFonts w:hint="default"/>
        <w:lang w:val="en-US" w:eastAsia="en-US" w:bidi="ar-SA"/>
      </w:rPr>
    </w:lvl>
  </w:abstractNum>
  <w:abstractNum w:abstractNumId="9" w15:restartNumberingAfterBreak="0">
    <w:nsid w:val="499A617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AA1B162"/>
    <w:multiLevelType w:val="multilevel"/>
    <w:tmpl w:val="F7A88B80"/>
    <w:lvl w:ilvl="0">
      <w:start w:val="2"/>
      <w:numFmt w:val="decimal"/>
      <w:lvlText w:val="%1"/>
      <w:lvlJc w:val="left"/>
      <w:pPr>
        <w:ind w:left="500" w:hanging="360"/>
      </w:pPr>
      <w:rPr>
        <w:rFonts w:hint="default"/>
        <w:lang w:val="en-US" w:eastAsia="en-US" w:bidi="ar-SA"/>
      </w:rPr>
    </w:lvl>
    <w:lvl w:ilvl="1">
      <w:start w:val="1"/>
      <w:numFmt w:val="decimal"/>
      <w:lvlText w:val="%1.%2"/>
      <w:lvlJc w:val="left"/>
      <w:pPr>
        <w:ind w:left="50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327" w:hanging="360"/>
      </w:pPr>
      <w:rPr>
        <w:rFonts w:hint="default"/>
        <w:lang w:val="en-US" w:eastAsia="en-US" w:bidi="ar-SA"/>
      </w:rPr>
    </w:lvl>
    <w:lvl w:ilvl="3">
      <w:numFmt w:val="bullet"/>
      <w:lvlText w:val="•"/>
      <w:lvlJc w:val="left"/>
      <w:pPr>
        <w:ind w:left="3241" w:hanging="360"/>
      </w:pPr>
      <w:rPr>
        <w:rFonts w:hint="default"/>
        <w:lang w:val="en-US" w:eastAsia="en-US" w:bidi="ar-SA"/>
      </w:rPr>
    </w:lvl>
    <w:lvl w:ilvl="4">
      <w:numFmt w:val="bullet"/>
      <w:lvlText w:val="•"/>
      <w:lvlJc w:val="left"/>
      <w:pPr>
        <w:ind w:left="4154" w:hanging="360"/>
      </w:pPr>
      <w:rPr>
        <w:rFonts w:hint="default"/>
        <w:lang w:val="en-US" w:eastAsia="en-US" w:bidi="ar-SA"/>
      </w:rPr>
    </w:lvl>
    <w:lvl w:ilvl="5">
      <w:numFmt w:val="bullet"/>
      <w:lvlText w:val="•"/>
      <w:lvlJc w:val="left"/>
      <w:pPr>
        <w:ind w:left="5068" w:hanging="360"/>
      </w:pPr>
      <w:rPr>
        <w:rFonts w:hint="default"/>
        <w:lang w:val="en-US" w:eastAsia="en-US" w:bidi="ar-SA"/>
      </w:rPr>
    </w:lvl>
    <w:lvl w:ilvl="6">
      <w:numFmt w:val="bullet"/>
      <w:lvlText w:val="•"/>
      <w:lvlJc w:val="left"/>
      <w:pPr>
        <w:ind w:left="5982" w:hanging="360"/>
      </w:pPr>
      <w:rPr>
        <w:rFonts w:hint="default"/>
        <w:lang w:val="en-US" w:eastAsia="en-US" w:bidi="ar-SA"/>
      </w:rPr>
    </w:lvl>
    <w:lvl w:ilvl="7">
      <w:numFmt w:val="bullet"/>
      <w:lvlText w:val="•"/>
      <w:lvlJc w:val="left"/>
      <w:pPr>
        <w:ind w:left="6895" w:hanging="360"/>
      </w:pPr>
      <w:rPr>
        <w:rFonts w:hint="default"/>
        <w:lang w:val="en-US" w:eastAsia="en-US" w:bidi="ar-SA"/>
      </w:rPr>
    </w:lvl>
    <w:lvl w:ilvl="8">
      <w:numFmt w:val="bullet"/>
      <w:lvlText w:val="•"/>
      <w:lvlJc w:val="left"/>
      <w:pPr>
        <w:ind w:left="7809" w:hanging="360"/>
      </w:pPr>
      <w:rPr>
        <w:rFonts w:hint="default"/>
        <w:lang w:val="en-US" w:eastAsia="en-US" w:bidi="ar-SA"/>
      </w:rPr>
    </w:lvl>
  </w:abstractNum>
  <w:abstractNum w:abstractNumId="11" w15:restartNumberingAfterBreak="0">
    <w:nsid w:val="4E5F1AEC"/>
    <w:multiLevelType w:val="hybridMultilevel"/>
    <w:tmpl w:val="C1A08F56"/>
    <w:lvl w:ilvl="0" w:tplc="38F430EC">
      <w:numFmt w:val="bullet"/>
      <w:lvlText w:val="-"/>
      <w:lvlJc w:val="left"/>
      <w:pPr>
        <w:ind w:left="109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230D7B4">
      <w:numFmt w:val="bullet"/>
      <w:lvlText w:val="•"/>
      <w:lvlJc w:val="left"/>
      <w:pPr>
        <w:ind w:left="1996" w:hanging="360"/>
      </w:pPr>
      <w:rPr>
        <w:rFonts w:hint="default"/>
        <w:lang w:val="en-US" w:eastAsia="en-US" w:bidi="ar-SA"/>
      </w:rPr>
    </w:lvl>
    <w:lvl w:ilvl="2" w:tplc="970296D0">
      <w:numFmt w:val="bullet"/>
      <w:lvlText w:val="•"/>
      <w:lvlJc w:val="left"/>
      <w:pPr>
        <w:ind w:left="2892" w:hanging="360"/>
      </w:pPr>
      <w:rPr>
        <w:rFonts w:hint="default"/>
        <w:lang w:val="en-US" w:eastAsia="en-US" w:bidi="ar-SA"/>
      </w:rPr>
    </w:lvl>
    <w:lvl w:ilvl="3" w:tplc="30DCBAE6">
      <w:numFmt w:val="bullet"/>
      <w:lvlText w:val="•"/>
      <w:lvlJc w:val="left"/>
      <w:pPr>
        <w:ind w:left="3788" w:hanging="360"/>
      </w:pPr>
      <w:rPr>
        <w:rFonts w:hint="default"/>
        <w:lang w:val="en-US" w:eastAsia="en-US" w:bidi="ar-SA"/>
      </w:rPr>
    </w:lvl>
    <w:lvl w:ilvl="4" w:tplc="A4D619D6">
      <w:numFmt w:val="bullet"/>
      <w:lvlText w:val="•"/>
      <w:lvlJc w:val="left"/>
      <w:pPr>
        <w:ind w:left="4684" w:hanging="360"/>
      </w:pPr>
      <w:rPr>
        <w:rFonts w:hint="default"/>
        <w:lang w:val="en-US" w:eastAsia="en-US" w:bidi="ar-SA"/>
      </w:rPr>
    </w:lvl>
    <w:lvl w:ilvl="5" w:tplc="6E540B3E">
      <w:numFmt w:val="bullet"/>
      <w:lvlText w:val="•"/>
      <w:lvlJc w:val="left"/>
      <w:pPr>
        <w:ind w:left="5581" w:hanging="360"/>
      </w:pPr>
      <w:rPr>
        <w:rFonts w:hint="default"/>
        <w:lang w:val="en-US" w:eastAsia="en-US" w:bidi="ar-SA"/>
      </w:rPr>
    </w:lvl>
    <w:lvl w:ilvl="6" w:tplc="98ACA394">
      <w:numFmt w:val="bullet"/>
      <w:lvlText w:val="•"/>
      <w:lvlJc w:val="left"/>
      <w:pPr>
        <w:ind w:left="6477" w:hanging="360"/>
      </w:pPr>
      <w:rPr>
        <w:rFonts w:hint="default"/>
        <w:lang w:val="en-US" w:eastAsia="en-US" w:bidi="ar-SA"/>
      </w:rPr>
    </w:lvl>
    <w:lvl w:ilvl="7" w:tplc="0A1A0236">
      <w:numFmt w:val="bullet"/>
      <w:lvlText w:val="•"/>
      <w:lvlJc w:val="left"/>
      <w:pPr>
        <w:ind w:left="7373" w:hanging="360"/>
      </w:pPr>
      <w:rPr>
        <w:rFonts w:hint="default"/>
        <w:lang w:val="en-US" w:eastAsia="en-US" w:bidi="ar-SA"/>
      </w:rPr>
    </w:lvl>
    <w:lvl w:ilvl="8" w:tplc="5246C38E">
      <w:numFmt w:val="bullet"/>
      <w:lvlText w:val="•"/>
      <w:lvlJc w:val="left"/>
      <w:pPr>
        <w:ind w:left="8269" w:hanging="360"/>
      </w:pPr>
      <w:rPr>
        <w:rFonts w:hint="default"/>
        <w:lang w:val="en-US" w:eastAsia="en-US" w:bidi="ar-SA"/>
      </w:rPr>
    </w:lvl>
  </w:abstractNum>
  <w:abstractNum w:abstractNumId="12" w15:restartNumberingAfterBreak="0">
    <w:nsid w:val="597F5D8E"/>
    <w:multiLevelType w:val="hybridMultilevel"/>
    <w:tmpl w:val="2F760932"/>
    <w:lvl w:ilvl="0" w:tplc="390A7CA6">
      <w:start w:val="1"/>
      <w:numFmt w:val="decimal"/>
      <w:lvlText w:val="%1."/>
      <w:lvlJc w:val="left"/>
      <w:pPr>
        <w:ind w:left="140" w:hanging="707"/>
      </w:pPr>
      <w:rPr>
        <w:rFonts w:ascii="Times New Roman" w:eastAsia="Times New Roman" w:hAnsi="Times New Roman" w:cs="Times New Roman" w:hint="default"/>
        <w:b w:val="0"/>
        <w:bCs w:val="0"/>
        <w:i w:val="0"/>
        <w:iCs w:val="0"/>
        <w:spacing w:val="0"/>
        <w:w w:val="100"/>
        <w:sz w:val="24"/>
        <w:szCs w:val="24"/>
        <w:lang w:val="en-US" w:eastAsia="en-US" w:bidi="ar-SA"/>
      </w:rPr>
    </w:lvl>
    <w:lvl w:ilvl="1" w:tplc="6838AC18">
      <w:numFmt w:val="bullet"/>
      <w:lvlText w:val="•"/>
      <w:lvlJc w:val="left"/>
      <w:pPr>
        <w:ind w:left="1089" w:hanging="707"/>
      </w:pPr>
      <w:rPr>
        <w:rFonts w:hint="default"/>
        <w:lang w:val="en-US" w:eastAsia="en-US" w:bidi="ar-SA"/>
      </w:rPr>
    </w:lvl>
    <w:lvl w:ilvl="2" w:tplc="A7CA6E7C">
      <w:numFmt w:val="bullet"/>
      <w:lvlText w:val="•"/>
      <w:lvlJc w:val="left"/>
      <w:pPr>
        <w:ind w:left="2039" w:hanging="707"/>
      </w:pPr>
      <w:rPr>
        <w:rFonts w:hint="default"/>
        <w:lang w:val="en-US" w:eastAsia="en-US" w:bidi="ar-SA"/>
      </w:rPr>
    </w:lvl>
    <w:lvl w:ilvl="3" w:tplc="1948609E">
      <w:numFmt w:val="bullet"/>
      <w:lvlText w:val="•"/>
      <w:lvlJc w:val="left"/>
      <w:pPr>
        <w:ind w:left="2989" w:hanging="707"/>
      </w:pPr>
      <w:rPr>
        <w:rFonts w:hint="default"/>
        <w:lang w:val="en-US" w:eastAsia="en-US" w:bidi="ar-SA"/>
      </w:rPr>
    </w:lvl>
    <w:lvl w:ilvl="4" w:tplc="20AA71B4">
      <w:numFmt w:val="bullet"/>
      <w:lvlText w:val="•"/>
      <w:lvlJc w:val="left"/>
      <w:pPr>
        <w:ind w:left="3938" w:hanging="707"/>
      </w:pPr>
      <w:rPr>
        <w:rFonts w:hint="default"/>
        <w:lang w:val="en-US" w:eastAsia="en-US" w:bidi="ar-SA"/>
      </w:rPr>
    </w:lvl>
    <w:lvl w:ilvl="5" w:tplc="A49EBB4C">
      <w:numFmt w:val="bullet"/>
      <w:lvlText w:val="•"/>
      <w:lvlJc w:val="left"/>
      <w:pPr>
        <w:ind w:left="4888" w:hanging="707"/>
      </w:pPr>
      <w:rPr>
        <w:rFonts w:hint="default"/>
        <w:lang w:val="en-US" w:eastAsia="en-US" w:bidi="ar-SA"/>
      </w:rPr>
    </w:lvl>
    <w:lvl w:ilvl="6" w:tplc="C3F074EA">
      <w:numFmt w:val="bullet"/>
      <w:lvlText w:val="•"/>
      <w:lvlJc w:val="left"/>
      <w:pPr>
        <w:ind w:left="5838" w:hanging="707"/>
      </w:pPr>
      <w:rPr>
        <w:rFonts w:hint="default"/>
        <w:lang w:val="en-US" w:eastAsia="en-US" w:bidi="ar-SA"/>
      </w:rPr>
    </w:lvl>
    <w:lvl w:ilvl="7" w:tplc="A926B7D2">
      <w:numFmt w:val="bullet"/>
      <w:lvlText w:val="•"/>
      <w:lvlJc w:val="left"/>
      <w:pPr>
        <w:ind w:left="6787" w:hanging="707"/>
      </w:pPr>
      <w:rPr>
        <w:rFonts w:hint="default"/>
        <w:lang w:val="en-US" w:eastAsia="en-US" w:bidi="ar-SA"/>
      </w:rPr>
    </w:lvl>
    <w:lvl w:ilvl="8" w:tplc="8F56551E">
      <w:numFmt w:val="bullet"/>
      <w:lvlText w:val="•"/>
      <w:lvlJc w:val="left"/>
      <w:pPr>
        <w:ind w:left="7737" w:hanging="707"/>
      </w:pPr>
      <w:rPr>
        <w:rFonts w:hint="default"/>
        <w:lang w:val="en-US" w:eastAsia="en-US" w:bidi="ar-SA"/>
      </w:rPr>
    </w:lvl>
  </w:abstractNum>
  <w:abstractNum w:abstractNumId="13" w15:restartNumberingAfterBreak="0">
    <w:nsid w:val="5C175535"/>
    <w:multiLevelType w:val="multilevel"/>
    <w:tmpl w:val="20327DD0"/>
    <w:lvl w:ilvl="0">
      <w:start w:val="1"/>
      <w:numFmt w:val="decimal"/>
      <w:lvlText w:val="%1."/>
      <w:lvlJc w:val="left"/>
      <w:pPr>
        <w:ind w:left="860" w:hanging="3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900" w:hanging="701"/>
      </w:pPr>
      <w:rPr>
        <w:rFonts w:hint="default"/>
        <w:spacing w:val="0"/>
        <w:w w:val="100"/>
        <w:lang w:val="en-US" w:eastAsia="en-US" w:bidi="ar-SA"/>
      </w:rPr>
    </w:lvl>
    <w:lvl w:ilvl="2">
      <w:numFmt w:val="bullet"/>
      <w:lvlText w:val=""/>
      <w:lvlJc w:val="left"/>
      <w:pPr>
        <w:ind w:left="920" w:hanging="363"/>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220"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2422" w:hanging="360"/>
      </w:pPr>
      <w:rPr>
        <w:rFonts w:hint="default"/>
        <w:lang w:val="en-US" w:eastAsia="en-US" w:bidi="ar-SA"/>
      </w:rPr>
    </w:lvl>
    <w:lvl w:ilvl="5">
      <w:numFmt w:val="bullet"/>
      <w:lvlText w:val="•"/>
      <w:lvlJc w:val="left"/>
      <w:pPr>
        <w:ind w:left="3624" w:hanging="360"/>
      </w:pPr>
      <w:rPr>
        <w:rFonts w:hint="default"/>
        <w:lang w:val="en-US" w:eastAsia="en-US" w:bidi="ar-SA"/>
      </w:rPr>
    </w:lvl>
    <w:lvl w:ilvl="6">
      <w:numFmt w:val="bullet"/>
      <w:lvlText w:val="•"/>
      <w:lvlJc w:val="left"/>
      <w:pPr>
        <w:ind w:left="4827" w:hanging="360"/>
      </w:pPr>
      <w:rPr>
        <w:rFonts w:hint="default"/>
        <w:lang w:val="en-US" w:eastAsia="en-US" w:bidi="ar-SA"/>
      </w:rPr>
    </w:lvl>
    <w:lvl w:ilvl="7">
      <w:numFmt w:val="bullet"/>
      <w:lvlText w:val="•"/>
      <w:lvlJc w:val="left"/>
      <w:pPr>
        <w:ind w:left="6029" w:hanging="360"/>
      </w:pPr>
      <w:rPr>
        <w:rFonts w:hint="default"/>
        <w:lang w:val="en-US" w:eastAsia="en-US" w:bidi="ar-SA"/>
      </w:rPr>
    </w:lvl>
    <w:lvl w:ilvl="8">
      <w:numFmt w:val="bullet"/>
      <w:lvlText w:val="•"/>
      <w:lvlJc w:val="left"/>
      <w:pPr>
        <w:ind w:left="7232" w:hanging="360"/>
      </w:pPr>
      <w:rPr>
        <w:rFonts w:hint="default"/>
        <w:lang w:val="en-US" w:eastAsia="en-US" w:bidi="ar-SA"/>
      </w:rPr>
    </w:lvl>
  </w:abstractNum>
  <w:abstractNum w:abstractNumId="14" w15:restartNumberingAfterBreak="0">
    <w:nsid w:val="60010682"/>
    <w:multiLevelType w:val="hybridMultilevel"/>
    <w:tmpl w:val="B3C29664"/>
    <w:lvl w:ilvl="0" w:tplc="EF58B7B8">
      <w:start w:val="1"/>
      <w:numFmt w:val="decimal"/>
      <w:lvlText w:val="%1."/>
      <w:lvlJc w:val="left"/>
      <w:pPr>
        <w:ind w:left="1002" w:hanging="720"/>
      </w:pPr>
      <w:rPr>
        <w:rFonts w:ascii="Times New Roman" w:eastAsia="Times New Roman" w:hAnsi="Times New Roman" w:cs="Times New Roman" w:hint="default"/>
        <w:b w:val="0"/>
        <w:bCs w:val="0"/>
        <w:i w:val="0"/>
        <w:iCs w:val="0"/>
        <w:spacing w:val="0"/>
        <w:w w:val="100"/>
        <w:sz w:val="24"/>
        <w:szCs w:val="24"/>
        <w:lang w:val="en-US" w:eastAsia="en-US" w:bidi="ar-SA"/>
      </w:rPr>
    </w:lvl>
    <w:lvl w:ilvl="1" w:tplc="A97A2432">
      <w:numFmt w:val="bullet"/>
      <w:lvlText w:val="•"/>
      <w:lvlJc w:val="left"/>
      <w:pPr>
        <w:ind w:left="1906" w:hanging="720"/>
      </w:pPr>
      <w:rPr>
        <w:rFonts w:hint="default"/>
        <w:lang w:val="en-US" w:eastAsia="en-US" w:bidi="ar-SA"/>
      </w:rPr>
    </w:lvl>
    <w:lvl w:ilvl="2" w:tplc="F7DEA434">
      <w:numFmt w:val="bullet"/>
      <w:lvlText w:val="•"/>
      <w:lvlJc w:val="left"/>
      <w:pPr>
        <w:ind w:left="2812" w:hanging="720"/>
      </w:pPr>
      <w:rPr>
        <w:rFonts w:hint="default"/>
        <w:lang w:val="en-US" w:eastAsia="en-US" w:bidi="ar-SA"/>
      </w:rPr>
    </w:lvl>
    <w:lvl w:ilvl="3" w:tplc="D9289638">
      <w:numFmt w:val="bullet"/>
      <w:lvlText w:val="•"/>
      <w:lvlJc w:val="left"/>
      <w:pPr>
        <w:ind w:left="3718" w:hanging="720"/>
      </w:pPr>
      <w:rPr>
        <w:rFonts w:hint="default"/>
        <w:lang w:val="en-US" w:eastAsia="en-US" w:bidi="ar-SA"/>
      </w:rPr>
    </w:lvl>
    <w:lvl w:ilvl="4" w:tplc="6FFC9818">
      <w:numFmt w:val="bullet"/>
      <w:lvlText w:val="•"/>
      <w:lvlJc w:val="left"/>
      <w:pPr>
        <w:ind w:left="4624" w:hanging="720"/>
      </w:pPr>
      <w:rPr>
        <w:rFonts w:hint="default"/>
        <w:lang w:val="en-US" w:eastAsia="en-US" w:bidi="ar-SA"/>
      </w:rPr>
    </w:lvl>
    <w:lvl w:ilvl="5" w:tplc="37C612B8">
      <w:numFmt w:val="bullet"/>
      <w:lvlText w:val="•"/>
      <w:lvlJc w:val="left"/>
      <w:pPr>
        <w:ind w:left="5531" w:hanging="720"/>
      </w:pPr>
      <w:rPr>
        <w:rFonts w:hint="default"/>
        <w:lang w:val="en-US" w:eastAsia="en-US" w:bidi="ar-SA"/>
      </w:rPr>
    </w:lvl>
    <w:lvl w:ilvl="6" w:tplc="7E8C6782">
      <w:numFmt w:val="bullet"/>
      <w:lvlText w:val="•"/>
      <w:lvlJc w:val="left"/>
      <w:pPr>
        <w:ind w:left="6437" w:hanging="720"/>
      </w:pPr>
      <w:rPr>
        <w:rFonts w:hint="default"/>
        <w:lang w:val="en-US" w:eastAsia="en-US" w:bidi="ar-SA"/>
      </w:rPr>
    </w:lvl>
    <w:lvl w:ilvl="7" w:tplc="80247F36">
      <w:numFmt w:val="bullet"/>
      <w:lvlText w:val="•"/>
      <w:lvlJc w:val="left"/>
      <w:pPr>
        <w:ind w:left="7343" w:hanging="720"/>
      </w:pPr>
      <w:rPr>
        <w:rFonts w:hint="default"/>
        <w:lang w:val="en-US" w:eastAsia="en-US" w:bidi="ar-SA"/>
      </w:rPr>
    </w:lvl>
    <w:lvl w:ilvl="8" w:tplc="ADD08508">
      <w:numFmt w:val="bullet"/>
      <w:lvlText w:val="•"/>
      <w:lvlJc w:val="left"/>
      <w:pPr>
        <w:ind w:left="8249" w:hanging="720"/>
      </w:pPr>
      <w:rPr>
        <w:rFonts w:hint="default"/>
        <w:lang w:val="en-US" w:eastAsia="en-US" w:bidi="ar-SA"/>
      </w:rPr>
    </w:lvl>
  </w:abstractNum>
  <w:abstractNum w:abstractNumId="15" w15:restartNumberingAfterBreak="0">
    <w:nsid w:val="6129E683"/>
    <w:multiLevelType w:val="multilevel"/>
    <w:tmpl w:val="0C86ECD4"/>
    <w:lvl w:ilvl="0">
      <w:start w:val="2"/>
      <w:numFmt w:val="decimal"/>
      <w:lvlText w:val="%1"/>
      <w:lvlJc w:val="left"/>
      <w:pPr>
        <w:ind w:left="1100" w:hanging="740"/>
      </w:pPr>
      <w:rPr>
        <w:rFonts w:hint="default"/>
        <w:lang w:val="en-US" w:eastAsia="en-US" w:bidi="ar-SA"/>
      </w:rPr>
    </w:lvl>
    <w:lvl w:ilvl="1">
      <w:start w:val="1"/>
      <w:numFmt w:val="decimal"/>
      <w:lvlText w:val="%1.%2"/>
      <w:lvlJc w:val="left"/>
      <w:pPr>
        <w:ind w:left="1100" w:hanging="74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807" w:hanging="740"/>
      </w:pPr>
      <w:rPr>
        <w:rFonts w:hint="default"/>
        <w:lang w:val="en-US" w:eastAsia="en-US" w:bidi="ar-SA"/>
      </w:rPr>
    </w:lvl>
    <w:lvl w:ilvl="3">
      <w:numFmt w:val="bullet"/>
      <w:lvlText w:val="•"/>
      <w:lvlJc w:val="left"/>
      <w:pPr>
        <w:ind w:left="3661" w:hanging="740"/>
      </w:pPr>
      <w:rPr>
        <w:rFonts w:hint="default"/>
        <w:lang w:val="en-US" w:eastAsia="en-US" w:bidi="ar-SA"/>
      </w:rPr>
    </w:lvl>
    <w:lvl w:ilvl="4">
      <w:numFmt w:val="bullet"/>
      <w:lvlText w:val="•"/>
      <w:lvlJc w:val="left"/>
      <w:pPr>
        <w:ind w:left="4514" w:hanging="740"/>
      </w:pPr>
      <w:rPr>
        <w:rFonts w:hint="default"/>
        <w:lang w:val="en-US" w:eastAsia="en-US" w:bidi="ar-SA"/>
      </w:rPr>
    </w:lvl>
    <w:lvl w:ilvl="5">
      <w:numFmt w:val="bullet"/>
      <w:lvlText w:val="•"/>
      <w:lvlJc w:val="left"/>
      <w:pPr>
        <w:ind w:left="5368" w:hanging="740"/>
      </w:pPr>
      <w:rPr>
        <w:rFonts w:hint="default"/>
        <w:lang w:val="en-US" w:eastAsia="en-US" w:bidi="ar-SA"/>
      </w:rPr>
    </w:lvl>
    <w:lvl w:ilvl="6">
      <w:numFmt w:val="bullet"/>
      <w:lvlText w:val="•"/>
      <w:lvlJc w:val="left"/>
      <w:pPr>
        <w:ind w:left="6222" w:hanging="740"/>
      </w:pPr>
      <w:rPr>
        <w:rFonts w:hint="default"/>
        <w:lang w:val="en-US" w:eastAsia="en-US" w:bidi="ar-SA"/>
      </w:rPr>
    </w:lvl>
    <w:lvl w:ilvl="7">
      <w:numFmt w:val="bullet"/>
      <w:lvlText w:val="•"/>
      <w:lvlJc w:val="left"/>
      <w:pPr>
        <w:ind w:left="7075" w:hanging="740"/>
      </w:pPr>
      <w:rPr>
        <w:rFonts w:hint="default"/>
        <w:lang w:val="en-US" w:eastAsia="en-US" w:bidi="ar-SA"/>
      </w:rPr>
    </w:lvl>
    <w:lvl w:ilvl="8">
      <w:numFmt w:val="bullet"/>
      <w:lvlText w:val="•"/>
      <w:lvlJc w:val="left"/>
      <w:pPr>
        <w:ind w:left="7929" w:hanging="740"/>
      </w:pPr>
      <w:rPr>
        <w:rFonts w:hint="default"/>
        <w:lang w:val="en-US" w:eastAsia="en-US" w:bidi="ar-SA"/>
      </w:rPr>
    </w:lvl>
  </w:abstractNum>
  <w:abstractNum w:abstractNumId="16" w15:restartNumberingAfterBreak="0">
    <w:nsid w:val="65A60052"/>
    <w:multiLevelType w:val="multilevel"/>
    <w:tmpl w:val="356E35FC"/>
    <w:lvl w:ilvl="0">
      <w:start w:val="4"/>
      <w:numFmt w:val="decimal"/>
      <w:lvlText w:val="%1"/>
      <w:lvlJc w:val="left"/>
      <w:pPr>
        <w:ind w:left="714" w:hanging="433"/>
      </w:pPr>
      <w:rPr>
        <w:rFonts w:hint="default"/>
        <w:lang w:val="en-US" w:eastAsia="en-US" w:bidi="ar-SA"/>
      </w:rPr>
    </w:lvl>
    <w:lvl w:ilvl="1">
      <w:numFmt w:val="decimal"/>
      <w:lvlText w:val="%1.%2."/>
      <w:lvlJc w:val="left"/>
      <w:pPr>
        <w:ind w:left="714" w:hanging="433"/>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904" w:hanging="623"/>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132" w:hanging="623"/>
      </w:pPr>
      <w:rPr>
        <w:rFonts w:hint="default"/>
        <w:lang w:val="en-US" w:eastAsia="en-US" w:bidi="ar-SA"/>
      </w:rPr>
    </w:lvl>
    <w:lvl w:ilvl="4">
      <w:numFmt w:val="bullet"/>
      <w:lvlText w:val="•"/>
      <w:lvlJc w:val="left"/>
      <w:pPr>
        <w:ind w:left="3265" w:hanging="623"/>
      </w:pPr>
      <w:rPr>
        <w:rFonts w:hint="default"/>
        <w:lang w:val="en-US" w:eastAsia="en-US" w:bidi="ar-SA"/>
      </w:rPr>
    </w:lvl>
    <w:lvl w:ilvl="5">
      <w:numFmt w:val="bullet"/>
      <w:lvlText w:val="•"/>
      <w:lvlJc w:val="left"/>
      <w:pPr>
        <w:ind w:left="4398" w:hanging="623"/>
      </w:pPr>
      <w:rPr>
        <w:rFonts w:hint="default"/>
        <w:lang w:val="en-US" w:eastAsia="en-US" w:bidi="ar-SA"/>
      </w:rPr>
    </w:lvl>
    <w:lvl w:ilvl="6">
      <w:numFmt w:val="bullet"/>
      <w:lvlText w:val="•"/>
      <w:lvlJc w:val="left"/>
      <w:pPr>
        <w:ind w:left="5531" w:hanging="623"/>
      </w:pPr>
      <w:rPr>
        <w:rFonts w:hint="default"/>
        <w:lang w:val="en-US" w:eastAsia="en-US" w:bidi="ar-SA"/>
      </w:rPr>
    </w:lvl>
    <w:lvl w:ilvl="7">
      <w:numFmt w:val="bullet"/>
      <w:lvlText w:val="•"/>
      <w:lvlJc w:val="left"/>
      <w:pPr>
        <w:ind w:left="6663" w:hanging="623"/>
      </w:pPr>
      <w:rPr>
        <w:rFonts w:hint="default"/>
        <w:lang w:val="en-US" w:eastAsia="en-US" w:bidi="ar-SA"/>
      </w:rPr>
    </w:lvl>
    <w:lvl w:ilvl="8">
      <w:numFmt w:val="bullet"/>
      <w:lvlText w:val="•"/>
      <w:lvlJc w:val="left"/>
      <w:pPr>
        <w:ind w:left="7796" w:hanging="623"/>
      </w:pPr>
      <w:rPr>
        <w:rFonts w:hint="default"/>
        <w:lang w:val="en-US" w:eastAsia="en-US" w:bidi="ar-SA"/>
      </w:rPr>
    </w:lvl>
  </w:abstractNum>
  <w:abstractNum w:abstractNumId="17" w15:restartNumberingAfterBreak="0">
    <w:nsid w:val="69AA0C71"/>
    <w:multiLevelType w:val="multilevel"/>
    <w:tmpl w:val="7188CB0A"/>
    <w:lvl w:ilvl="0">
      <w:start w:val="4"/>
      <w:numFmt w:val="decimal"/>
      <w:lvlText w:val="%1"/>
      <w:lvlJc w:val="left"/>
      <w:pPr>
        <w:ind w:left="560" w:hanging="420"/>
      </w:pPr>
      <w:rPr>
        <w:rFonts w:hint="default"/>
        <w:lang w:val="en-US" w:eastAsia="en-US" w:bidi="ar-SA"/>
      </w:rPr>
    </w:lvl>
    <w:lvl w:ilvl="1">
      <w:numFmt w:val="decimal"/>
      <w:lvlText w:val="%1.%2."/>
      <w:lvlJc w:val="left"/>
      <w:pPr>
        <w:ind w:left="560" w:hanging="420"/>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960" w:hanging="60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377" w:hanging="600"/>
      </w:pPr>
      <w:rPr>
        <w:rFonts w:hint="default"/>
        <w:lang w:val="en-US" w:eastAsia="en-US" w:bidi="ar-SA"/>
      </w:rPr>
    </w:lvl>
    <w:lvl w:ilvl="4">
      <w:numFmt w:val="bullet"/>
      <w:lvlText w:val="•"/>
      <w:lvlJc w:val="left"/>
      <w:pPr>
        <w:ind w:left="3414" w:hanging="600"/>
      </w:pPr>
      <w:rPr>
        <w:rFonts w:hint="default"/>
        <w:lang w:val="en-US" w:eastAsia="en-US" w:bidi="ar-SA"/>
      </w:rPr>
    </w:lvl>
    <w:lvl w:ilvl="5">
      <w:numFmt w:val="bullet"/>
      <w:lvlText w:val="•"/>
      <w:lvlJc w:val="left"/>
      <w:pPr>
        <w:ind w:left="4451" w:hanging="600"/>
      </w:pPr>
      <w:rPr>
        <w:rFonts w:hint="default"/>
        <w:lang w:val="en-US" w:eastAsia="en-US" w:bidi="ar-SA"/>
      </w:rPr>
    </w:lvl>
    <w:lvl w:ilvl="6">
      <w:numFmt w:val="bullet"/>
      <w:lvlText w:val="•"/>
      <w:lvlJc w:val="left"/>
      <w:pPr>
        <w:ind w:left="5488" w:hanging="600"/>
      </w:pPr>
      <w:rPr>
        <w:rFonts w:hint="default"/>
        <w:lang w:val="en-US" w:eastAsia="en-US" w:bidi="ar-SA"/>
      </w:rPr>
    </w:lvl>
    <w:lvl w:ilvl="7">
      <w:numFmt w:val="bullet"/>
      <w:lvlText w:val="•"/>
      <w:lvlJc w:val="left"/>
      <w:pPr>
        <w:ind w:left="6525" w:hanging="600"/>
      </w:pPr>
      <w:rPr>
        <w:rFonts w:hint="default"/>
        <w:lang w:val="en-US" w:eastAsia="en-US" w:bidi="ar-SA"/>
      </w:rPr>
    </w:lvl>
    <w:lvl w:ilvl="8">
      <w:numFmt w:val="bullet"/>
      <w:lvlText w:val="•"/>
      <w:lvlJc w:val="left"/>
      <w:pPr>
        <w:ind w:left="7562" w:hanging="600"/>
      </w:pPr>
      <w:rPr>
        <w:rFonts w:hint="default"/>
        <w:lang w:val="en-US" w:eastAsia="en-US" w:bidi="ar-SA"/>
      </w:rPr>
    </w:lvl>
  </w:abstractNum>
  <w:abstractNum w:abstractNumId="18" w15:restartNumberingAfterBreak="0">
    <w:nsid w:val="6C21485C"/>
    <w:multiLevelType w:val="multilevel"/>
    <w:tmpl w:val="D4EC11D2"/>
    <w:lvl w:ilvl="0">
      <w:start w:val="1"/>
      <w:numFmt w:val="decimal"/>
      <w:lvlText w:val="%1."/>
      <w:lvlJc w:val="left"/>
      <w:pPr>
        <w:ind w:left="580" w:hanging="440"/>
      </w:pPr>
      <w:rPr>
        <w:rFonts w:ascii="Times New Roman" w:eastAsia="Times New Roman" w:hAnsi="Times New Roman" w:cs="Times New Roman" w:hint="default"/>
        <w:b w:val="0"/>
        <w:bCs w:val="0"/>
        <w:i w:val="0"/>
        <w:iCs w:val="0"/>
        <w:spacing w:val="0"/>
        <w:w w:val="100"/>
        <w:sz w:val="24"/>
        <w:szCs w:val="24"/>
        <w:lang w:val="en-US" w:eastAsia="en-US" w:bidi="ar-SA"/>
      </w:rPr>
    </w:lvl>
    <w:lvl w:ilvl="1">
      <w:start w:val="1"/>
      <w:numFmt w:val="decimal"/>
      <w:lvlText w:val="%1.%2."/>
      <w:lvlJc w:val="left"/>
      <w:pPr>
        <w:ind w:left="1100" w:hanging="74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048" w:hanging="740"/>
      </w:pPr>
      <w:rPr>
        <w:rFonts w:hint="default"/>
        <w:lang w:val="en-US" w:eastAsia="en-US" w:bidi="ar-SA"/>
      </w:rPr>
    </w:lvl>
    <w:lvl w:ilvl="3">
      <w:numFmt w:val="bullet"/>
      <w:lvlText w:val="•"/>
      <w:lvlJc w:val="left"/>
      <w:pPr>
        <w:ind w:left="2997" w:hanging="740"/>
      </w:pPr>
      <w:rPr>
        <w:rFonts w:hint="default"/>
        <w:lang w:val="en-US" w:eastAsia="en-US" w:bidi="ar-SA"/>
      </w:rPr>
    </w:lvl>
    <w:lvl w:ilvl="4">
      <w:numFmt w:val="bullet"/>
      <w:lvlText w:val="•"/>
      <w:lvlJc w:val="left"/>
      <w:pPr>
        <w:ind w:left="3945" w:hanging="740"/>
      </w:pPr>
      <w:rPr>
        <w:rFonts w:hint="default"/>
        <w:lang w:val="en-US" w:eastAsia="en-US" w:bidi="ar-SA"/>
      </w:rPr>
    </w:lvl>
    <w:lvl w:ilvl="5">
      <w:numFmt w:val="bullet"/>
      <w:lvlText w:val="•"/>
      <w:lvlJc w:val="left"/>
      <w:pPr>
        <w:ind w:left="4894" w:hanging="740"/>
      </w:pPr>
      <w:rPr>
        <w:rFonts w:hint="default"/>
        <w:lang w:val="en-US" w:eastAsia="en-US" w:bidi="ar-SA"/>
      </w:rPr>
    </w:lvl>
    <w:lvl w:ilvl="6">
      <w:numFmt w:val="bullet"/>
      <w:lvlText w:val="•"/>
      <w:lvlJc w:val="left"/>
      <w:pPr>
        <w:ind w:left="5842" w:hanging="740"/>
      </w:pPr>
      <w:rPr>
        <w:rFonts w:hint="default"/>
        <w:lang w:val="en-US" w:eastAsia="en-US" w:bidi="ar-SA"/>
      </w:rPr>
    </w:lvl>
    <w:lvl w:ilvl="7">
      <w:numFmt w:val="bullet"/>
      <w:lvlText w:val="•"/>
      <w:lvlJc w:val="left"/>
      <w:pPr>
        <w:ind w:left="6791" w:hanging="740"/>
      </w:pPr>
      <w:rPr>
        <w:rFonts w:hint="default"/>
        <w:lang w:val="en-US" w:eastAsia="en-US" w:bidi="ar-SA"/>
      </w:rPr>
    </w:lvl>
    <w:lvl w:ilvl="8">
      <w:numFmt w:val="bullet"/>
      <w:lvlText w:val="•"/>
      <w:lvlJc w:val="left"/>
      <w:pPr>
        <w:ind w:left="7739" w:hanging="740"/>
      </w:pPr>
      <w:rPr>
        <w:rFonts w:hint="default"/>
        <w:lang w:val="en-US" w:eastAsia="en-US" w:bidi="ar-SA"/>
      </w:rPr>
    </w:lvl>
  </w:abstractNum>
  <w:abstractNum w:abstractNumId="19" w15:restartNumberingAfterBreak="0">
    <w:nsid w:val="6D08BE68"/>
    <w:multiLevelType w:val="hybridMultilevel"/>
    <w:tmpl w:val="B0C28794"/>
    <w:lvl w:ilvl="0" w:tplc="C8F4D420">
      <w:start w:val="1"/>
      <w:numFmt w:val="decimal"/>
      <w:lvlText w:val="%1."/>
      <w:lvlJc w:val="left"/>
      <w:pPr>
        <w:ind w:left="100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7932D178">
      <w:numFmt w:val="bullet"/>
      <w:lvlText w:val="•"/>
      <w:lvlJc w:val="left"/>
      <w:pPr>
        <w:ind w:left="1906" w:hanging="360"/>
      </w:pPr>
      <w:rPr>
        <w:rFonts w:hint="default"/>
        <w:lang w:val="en-US" w:eastAsia="en-US" w:bidi="ar-SA"/>
      </w:rPr>
    </w:lvl>
    <w:lvl w:ilvl="2" w:tplc="61A43764">
      <w:numFmt w:val="bullet"/>
      <w:lvlText w:val="•"/>
      <w:lvlJc w:val="left"/>
      <w:pPr>
        <w:ind w:left="2812" w:hanging="360"/>
      </w:pPr>
      <w:rPr>
        <w:rFonts w:hint="default"/>
        <w:lang w:val="en-US" w:eastAsia="en-US" w:bidi="ar-SA"/>
      </w:rPr>
    </w:lvl>
    <w:lvl w:ilvl="3" w:tplc="5A8C442A">
      <w:numFmt w:val="bullet"/>
      <w:lvlText w:val="•"/>
      <w:lvlJc w:val="left"/>
      <w:pPr>
        <w:ind w:left="3718" w:hanging="360"/>
      </w:pPr>
      <w:rPr>
        <w:rFonts w:hint="default"/>
        <w:lang w:val="en-US" w:eastAsia="en-US" w:bidi="ar-SA"/>
      </w:rPr>
    </w:lvl>
    <w:lvl w:ilvl="4" w:tplc="6964861E">
      <w:numFmt w:val="bullet"/>
      <w:lvlText w:val="•"/>
      <w:lvlJc w:val="left"/>
      <w:pPr>
        <w:ind w:left="4624" w:hanging="360"/>
      </w:pPr>
      <w:rPr>
        <w:rFonts w:hint="default"/>
        <w:lang w:val="en-US" w:eastAsia="en-US" w:bidi="ar-SA"/>
      </w:rPr>
    </w:lvl>
    <w:lvl w:ilvl="5" w:tplc="B4384A38">
      <w:numFmt w:val="bullet"/>
      <w:lvlText w:val="•"/>
      <w:lvlJc w:val="left"/>
      <w:pPr>
        <w:ind w:left="5531" w:hanging="360"/>
      </w:pPr>
      <w:rPr>
        <w:rFonts w:hint="default"/>
        <w:lang w:val="en-US" w:eastAsia="en-US" w:bidi="ar-SA"/>
      </w:rPr>
    </w:lvl>
    <w:lvl w:ilvl="6" w:tplc="BC92C264">
      <w:numFmt w:val="bullet"/>
      <w:lvlText w:val="•"/>
      <w:lvlJc w:val="left"/>
      <w:pPr>
        <w:ind w:left="6437" w:hanging="360"/>
      </w:pPr>
      <w:rPr>
        <w:rFonts w:hint="default"/>
        <w:lang w:val="en-US" w:eastAsia="en-US" w:bidi="ar-SA"/>
      </w:rPr>
    </w:lvl>
    <w:lvl w:ilvl="7" w:tplc="29226AE4">
      <w:numFmt w:val="bullet"/>
      <w:lvlText w:val="•"/>
      <w:lvlJc w:val="left"/>
      <w:pPr>
        <w:ind w:left="7343" w:hanging="360"/>
      </w:pPr>
      <w:rPr>
        <w:rFonts w:hint="default"/>
        <w:lang w:val="en-US" w:eastAsia="en-US" w:bidi="ar-SA"/>
      </w:rPr>
    </w:lvl>
    <w:lvl w:ilvl="8" w:tplc="283E269C">
      <w:numFmt w:val="bullet"/>
      <w:lvlText w:val="•"/>
      <w:lvlJc w:val="left"/>
      <w:pPr>
        <w:ind w:left="8249" w:hanging="360"/>
      </w:pPr>
      <w:rPr>
        <w:rFonts w:hint="default"/>
        <w:lang w:val="en-US" w:eastAsia="en-US" w:bidi="ar-SA"/>
      </w:rPr>
    </w:lvl>
  </w:abstractNum>
  <w:abstractNum w:abstractNumId="20" w15:restartNumberingAfterBreak="0">
    <w:nsid w:val="7021178F"/>
    <w:multiLevelType w:val="multilevel"/>
    <w:tmpl w:val="17F22650"/>
    <w:lvl w:ilvl="0">
      <w:start w:val="3"/>
      <w:numFmt w:val="decimal"/>
      <w:lvlText w:val="%1"/>
      <w:lvlJc w:val="left"/>
      <w:pPr>
        <w:ind w:left="860" w:hanging="720"/>
      </w:pPr>
      <w:rPr>
        <w:rFonts w:hint="default"/>
        <w:lang w:val="en-US" w:eastAsia="en-US" w:bidi="ar-SA"/>
      </w:rPr>
    </w:lvl>
    <w:lvl w:ilvl="1">
      <w:numFmt w:val="decimal"/>
      <w:lvlText w:val="%1.%2."/>
      <w:lvlJc w:val="left"/>
      <w:pPr>
        <w:ind w:left="860" w:hanging="72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580" w:hanging="100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370" w:hanging="1000"/>
      </w:pPr>
      <w:rPr>
        <w:rFonts w:hint="default"/>
        <w:lang w:val="en-US" w:eastAsia="en-US" w:bidi="ar-SA"/>
      </w:rPr>
    </w:lvl>
    <w:lvl w:ilvl="4">
      <w:numFmt w:val="bullet"/>
      <w:lvlText w:val="•"/>
      <w:lvlJc w:val="left"/>
      <w:pPr>
        <w:ind w:left="4265" w:hanging="1000"/>
      </w:pPr>
      <w:rPr>
        <w:rFonts w:hint="default"/>
        <w:lang w:val="en-US" w:eastAsia="en-US" w:bidi="ar-SA"/>
      </w:rPr>
    </w:lvl>
    <w:lvl w:ilvl="5">
      <w:numFmt w:val="bullet"/>
      <w:lvlText w:val="•"/>
      <w:lvlJc w:val="left"/>
      <w:pPr>
        <w:ind w:left="5160" w:hanging="1000"/>
      </w:pPr>
      <w:rPr>
        <w:rFonts w:hint="default"/>
        <w:lang w:val="en-US" w:eastAsia="en-US" w:bidi="ar-SA"/>
      </w:rPr>
    </w:lvl>
    <w:lvl w:ilvl="6">
      <w:numFmt w:val="bullet"/>
      <w:lvlText w:val="•"/>
      <w:lvlJc w:val="left"/>
      <w:pPr>
        <w:ind w:left="6056" w:hanging="1000"/>
      </w:pPr>
      <w:rPr>
        <w:rFonts w:hint="default"/>
        <w:lang w:val="en-US" w:eastAsia="en-US" w:bidi="ar-SA"/>
      </w:rPr>
    </w:lvl>
    <w:lvl w:ilvl="7">
      <w:numFmt w:val="bullet"/>
      <w:lvlText w:val="•"/>
      <w:lvlJc w:val="left"/>
      <w:pPr>
        <w:ind w:left="6951" w:hanging="1000"/>
      </w:pPr>
      <w:rPr>
        <w:rFonts w:hint="default"/>
        <w:lang w:val="en-US" w:eastAsia="en-US" w:bidi="ar-SA"/>
      </w:rPr>
    </w:lvl>
    <w:lvl w:ilvl="8">
      <w:numFmt w:val="bullet"/>
      <w:lvlText w:val="•"/>
      <w:lvlJc w:val="left"/>
      <w:pPr>
        <w:ind w:left="7846" w:hanging="1000"/>
      </w:pPr>
      <w:rPr>
        <w:rFonts w:hint="default"/>
        <w:lang w:val="en-US" w:eastAsia="en-US" w:bidi="ar-SA"/>
      </w:rPr>
    </w:lvl>
  </w:abstractNum>
  <w:num w:numId="1">
    <w:abstractNumId w:val="1"/>
  </w:num>
  <w:num w:numId="2">
    <w:abstractNumId w:val="7"/>
  </w:num>
  <w:num w:numId="3">
    <w:abstractNumId w:val="2"/>
  </w:num>
  <w:num w:numId="4">
    <w:abstractNumId w:val="0"/>
  </w:num>
  <w:num w:numId="5">
    <w:abstractNumId w:val="11"/>
  </w:num>
  <w:num w:numId="6">
    <w:abstractNumId w:val="14"/>
  </w:num>
  <w:num w:numId="7">
    <w:abstractNumId w:val="8"/>
  </w:num>
  <w:num w:numId="8">
    <w:abstractNumId w:val="5"/>
  </w:num>
  <w:num w:numId="9">
    <w:abstractNumId w:val="16"/>
  </w:num>
  <w:num w:numId="10">
    <w:abstractNumId w:val="19"/>
  </w:num>
  <w:num w:numId="11">
    <w:abstractNumId w:val="6"/>
  </w:num>
  <w:num w:numId="12">
    <w:abstractNumId w:val="10"/>
  </w:num>
  <w:num w:numId="13">
    <w:abstractNumId w:val="12"/>
  </w:num>
  <w:num w:numId="14">
    <w:abstractNumId w:val="13"/>
  </w:num>
  <w:num w:numId="15">
    <w:abstractNumId w:val="4"/>
  </w:num>
  <w:num w:numId="16">
    <w:abstractNumId w:val="17"/>
  </w:num>
  <w:num w:numId="17">
    <w:abstractNumId w:val="20"/>
  </w:num>
  <w:num w:numId="18">
    <w:abstractNumId w:val="15"/>
  </w:num>
  <w:num w:numId="19">
    <w:abstractNumId w:val="18"/>
  </w:num>
  <w:num w:numId="20">
    <w:abstractNumId w:val="3"/>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hideSpellingErrors/>
  <w:defaultTabStop w:val="720"/>
  <w:hyphenationZone w:val="283"/>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784253A"/>
    <w:rsid w:val="00011CBE"/>
    <w:rsid w:val="00031785"/>
    <w:rsid w:val="00031E6D"/>
    <w:rsid w:val="00036037"/>
    <w:rsid w:val="00047E6C"/>
    <w:rsid w:val="00071ACF"/>
    <w:rsid w:val="000E65D9"/>
    <w:rsid w:val="00105922"/>
    <w:rsid w:val="001174E5"/>
    <w:rsid w:val="001951ED"/>
    <w:rsid w:val="001A7DBD"/>
    <w:rsid w:val="001C5F72"/>
    <w:rsid w:val="001C6076"/>
    <w:rsid w:val="001F19F7"/>
    <w:rsid w:val="00241B83"/>
    <w:rsid w:val="002564ED"/>
    <w:rsid w:val="00257C0D"/>
    <w:rsid w:val="002663ED"/>
    <w:rsid w:val="00271D80"/>
    <w:rsid w:val="00294323"/>
    <w:rsid w:val="002B7FDE"/>
    <w:rsid w:val="002C021B"/>
    <w:rsid w:val="002D3374"/>
    <w:rsid w:val="002F29A4"/>
    <w:rsid w:val="00300A40"/>
    <w:rsid w:val="00355242"/>
    <w:rsid w:val="00356035"/>
    <w:rsid w:val="00391B8E"/>
    <w:rsid w:val="003A2B4A"/>
    <w:rsid w:val="003A574E"/>
    <w:rsid w:val="003B27B4"/>
    <w:rsid w:val="003B6CA1"/>
    <w:rsid w:val="003D368D"/>
    <w:rsid w:val="00406B09"/>
    <w:rsid w:val="00431521"/>
    <w:rsid w:val="0048056C"/>
    <w:rsid w:val="00481BF0"/>
    <w:rsid w:val="004B3418"/>
    <w:rsid w:val="004C29CE"/>
    <w:rsid w:val="004F0AE8"/>
    <w:rsid w:val="004F4D91"/>
    <w:rsid w:val="00504047"/>
    <w:rsid w:val="00507F42"/>
    <w:rsid w:val="00516DEB"/>
    <w:rsid w:val="005173BA"/>
    <w:rsid w:val="00525154"/>
    <w:rsid w:val="00532DD4"/>
    <w:rsid w:val="0054585D"/>
    <w:rsid w:val="00561F9F"/>
    <w:rsid w:val="005662D8"/>
    <w:rsid w:val="005B04DE"/>
    <w:rsid w:val="005B1403"/>
    <w:rsid w:val="005B3191"/>
    <w:rsid w:val="005B524E"/>
    <w:rsid w:val="00611C4F"/>
    <w:rsid w:val="00617E9A"/>
    <w:rsid w:val="006353EB"/>
    <w:rsid w:val="00642722"/>
    <w:rsid w:val="00644D8F"/>
    <w:rsid w:val="006626F6"/>
    <w:rsid w:val="00681368"/>
    <w:rsid w:val="00696F75"/>
    <w:rsid w:val="006A26EF"/>
    <w:rsid w:val="006A3AB1"/>
    <w:rsid w:val="006C4F2B"/>
    <w:rsid w:val="006D6A7D"/>
    <w:rsid w:val="006D8D4D"/>
    <w:rsid w:val="006F08D3"/>
    <w:rsid w:val="00745C08"/>
    <w:rsid w:val="00774C0C"/>
    <w:rsid w:val="007A46E7"/>
    <w:rsid w:val="007E74B3"/>
    <w:rsid w:val="007F2C41"/>
    <w:rsid w:val="008227BD"/>
    <w:rsid w:val="00833B62"/>
    <w:rsid w:val="00845E72"/>
    <w:rsid w:val="00853612"/>
    <w:rsid w:val="0087310A"/>
    <w:rsid w:val="00881092"/>
    <w:rsid w:val="008817BE"/>
    <w:rsid w:val="008B7CBF"/>
    <w:rsid w:val="008C2BE0"/>
    <w:rsid w:val="008D2810"/>
    <w:rsid w:val="00901745"/>
    <w:rsid w:val="00944638"/>
    <w:rsid w:val="009695F5"/>
    <w:rsid w:val="00980A9C"/>
    <w:rsid w:val="009921F9"/>
    <w:rsid w:val="009A318C"/>
    <w:rsid w:val="009D35FA"/>
    <w:rsid w:val="009F3B37"/>
    <w:rsid w:val="00A110FD"/>
    <w:rsid w:val="00A14590"/>
    <w:rsid w:val="00A2019B"/>
    <w:rsid w:val="00A241EB"/>
    <w:rsid w:val="00A56634"/>
    <w:rsid w:val="00A574D6"/>
    <w:rsid w:val="00AC5A4C"/>
    <w:rsid w:val="00AC5F51"/>
    <w:rsid w:val="00AD4774"/>
    <w:rsid w:val="00AE6265"/>
    <w:rsid w:val="00B04A3C"/>
    <w:rsid w:val="00B12E3E"/>
    <w:rsid w:val="00B14AC7"/>
    <w:rsid w:val="00B2423C"/>
    <w:rsid w:val="00B32F43"/>
    <w:rsid w:val="00B66622"/>
    <w:rsid w:val="00B70475"/>
    <w:rsid w:val="00B843D9"/>
    <w:rsid w:val="00BB0177"/>
    <w:rsid w:val="00BC5AF5"/>
    <w:rsid w:val="00BD769C"/>
    <w:rsid w:val="00BE6C94"/>
    <w:rsid w:val="00C13219"/>
    <w:rsid w:val="00C147C4"/>
    <w:rsid w:val="00C32F34"/>
    <w:rsid w:val="00C33B50"/>
    <w:rsid w:val="00C52B2A"/>
    <w:rsid w:val="00C70416"/>
    <w:rsid w:val="00C905E0"/>
    <w:rsid w:val="00C94038"/>
    <w:rsid w:val="00C965D0"/>
    <w:rsid w:val="00CA3A91"/>
    <w:rsid w:val="00CA7E2D"/>
    <w:rsid w:val="00CC5EE6"/>
    <w:rsid w:val="00CD14F5"/>
    <w:rsid w:val="00CE2DF0"/>
    <w:rsid w:val="00CF00FD"/>
    <w:rsid w:val="00CF391D"/>
    <w:rsid w:val="00D04F91"/>
    <w:rsid w:val="00D15BE1"/>
    <w:rsid w:val="00D729CA"/>
    <w:rsid w:val="00D864F8"/>
    <w:rsid w:val="00D87E12"/>
    <w:rsid w:val="00D911BD"/>
    <w:rsid w:val="00D95EFB"/>
    <w:rsid w:val="00DC2D3C"/>
    <w:rsid w:val="00DC5CA2"/>
    <w:rsid w:val="00DE081D"/>
    <w:rsid w:val="00DE2358"/>
    <w:rsid w:val="00E24034"/>
    <w:rsid w:val="00E43973"/>
    <w:rsid w:val="00E9035E"/>
    <w:rsid w:val="00E94FF6"/>
    <w:rsid w:val="00EA662B"/>
    <w:rsid w:val="00EB2D0C"/>
    <w:rsid w:val="00EB6F2A"/>
    <w:rsid w:val="00EC434B"/>
    <w:rsid w:val="00EF0AAE"/>
    <w:rsid w:val="00EF7E07"/>
    <w:rsid w:val="00F03422"/>
    <w:rsid w:val="00F9646F"/>
    <w:rsid w:val="00FA1D5F"/>
    <w:rsid w:val="00FF24C3"/>
    <w:rsid w:val="00FF4BA0"/>
    <w:rsid w:val="0170FB22"/>
    <w:rsid w:val="01991866"/>
    <w:rsid w:val="01C390CC"/>
    <w:rsid w:val="0214DA90"/>
    <w:rsid w:val="028FB9E9"/>
    <w:rsid w:val="02AB99A6"/>
    <w:rsid w:val="02AE73F4"/>
    <w:rsid w:val="02B36C6A"/>
    <w:rsid w:val="0341DE93"/>
    <w:rsid w:val="03CD4F8C"/>
    <w:rsid w:val="0414DDCD"/>
    <w:rsid w:val="04564729"/>
    <w:rsid w:val="04726997"/>
    <w:rsid w:val="04779E4A"/>
    <w:rsid w:val="04E5472E"/>
    <w:rsid w:val="05F7DB0D"/>
    <w:rsid w:val="062E8DCE"/>
    <w:rsid w:val="06681ACC"/>
    <w:rsid w:val="06B95126"/>
    <w:rsid w:val="072D7D5F"/>
    <w:rsid w:val="073B33A3"/>
    <w:rsid w:val="0784253A"/>
    <w:rsid w:val="0801A71B"/>
    <w:rsid w:val="0826D434"/>
    <w:rsid w:val="08275768"/>
    <w:rsid w:val="08554508"/>
    <w:rsid w:val="089847C8"/>
    <w:rsid w:val="091055FF"/>
    <w:rsid w:val="093D2DFC"/>
    <w:rsid w:val="0946FDA9"/>
    <w:rsid w:val="094D6707"/>
    <w:rsid w:val="095ABA71"/>
    <w:rsid w:val="0960429B"/>
    <w:rsid w:val="09B97453"/>
    <w:rsid w:val="0ADDE6FF"/>
    <w:rsid w:val="0AE08E92"/>
    <w:rsid w:val="0BC1153F"/>
    <w:rsid w:val="0C55D682"/>
    <w:rsid w:val="0C5E4036"/>
    <w:rsid w:val="0C67BAAD"/>
    <w:rsid w:val="0C69CF25"/>
    <w:rsid w:val="0C990661"/>
    <w:rsid w:val="0D43F39D"/>
    <w:rsid w:val="0D9B2286"/>
    <w:rsid w:val="0DB03990"/>
    <w:rsid w:val="0DDB7EE1"/>
    <w:rsid w:val="0E717922"/>
    <w:rsid w:val="0E751AE5"/>
    <w:rsid w:val="0EBB4570"/>
    <w:rsid w:val="0F4516FF"/>
    <w:rsid w:val="0FB07191"/>
    <w:rsid w:val="0FB29079"/>
    <w:rsid w:val="1005ECA4"/>
    <w:rsid w:val="10354CAA"/>
    <w:rsid w:val="10446803"/>
    <w:rsid w:val="106FAF18"/>
    <w:rsid w:val="1071EB17"/>
    <w:rsid w:val="107AAEDD"/>
    <w:rsid w:val="10A56EBB"/>
    <w:rsid w:val="10BCC901"/>
    <w:rsid w:val="10F11C7B"/>
    <w:rsid w:val="1143341E"/>
    <w:rsid w:val="1169C886"/>
    <w:rsid w:val="11A54E18"/>
    <w:rsid w:val="11C7E461"/>
    <w:rsid w:val="1244BEBE"/>
    <w:rsid w:val="12B06F35"/>
    <w:rsid w:val="12D84AE5"/>
    <w:rsid w:val="12D8C18A"/>
    <w:rsid w:val="134B457D"/>
    <w:rsid w:val="1369BF48"/>
    <w:rsid w:val="137D0D66"/>
    <w:rsid w:val="1397133F"/>
    <w:rsid w:val="13DC207A"/>
    <w:rsid w:val="14018526"/>
    <w:rsid w:val="142B8C5B"/>
    <w:rsid w:val="14374AC4"/>
    <w:rsid w:val="144ABE76"/>
    <w:rsid w:val="146231E0"/>
    <w:rsid w:val="14CE3B3A"/>
    <w:rsid w:val="14CE3EE5"/>
    <w:rsid w:val="14F952B9"/>
    <w:rsid w:val="15012B52"/>
    <w:rsid w:val="1530E6F3"/>
    <w:rsid w:val="15650272"/>
    <w:rsid w:val="15FD1B85"/>
    <w:rsid w:val="16148E16"/>
    <w:rsid w:val="1618258F"/>
    <w:rsid w:val="166B3836"/>
    <w:rsid w:val="1687F40C"/>
    <w:rsid w:val="1691C38C"/>
    <w:rsid w:val="16AA4AC1"/>
    <w:rsid w:val="16CEEC60"/>
    <w:rsid w:val="16F41EA9"/>
    <w:rsid w:val="1745CD60"/>
    <w:rsid w:val="177DE436"/>
    <w:rsid w:val="17B06445"/>
    <w:rsid w:val="17CE7C80"/>
    <w:rsid w:val="18078336"/>
    <w:rsid w:val="18B5591A"/>
    <w:rsid w:val="191DEB4D"/>
    <w:rsid w:val="193E7BF4"/>
    <w:rsid w:val="1A5BA397"/>
    <w:rsid w:val="1A5CC969"/>
    <w:rsid w:val="1A937735"/>
    <w:rsid w:val="1AF35211"/>
    <w:rsid w:val="1B268B8B"/>
    <w:rsid w:val="1B3A2165"/>
    <w:rsid w:val="1B5C3BED"/>
    <w:rsid w:val="1B6C4F46"/>
    <w:rsid w:val="1B702C74"/>
    <w:rsid w:val="1B8BDCBB"/>
    <w:rsid w:val="1B986575"/>
    <w:rsid w:val="1BB37B8C"/>
    <w:rsid w:val="1C14AFC3"/>
    <w:rsid w:val="1D7C3993"/>
    <w:rsid w:val="1E4DA43E"/>
    <w:rsid w:val="1E5C63C4"/>
    <w:rsid w:val="1E88475E"/>
    <w:rsid w:val="1EAE90AB"/>
    <w:rsid w:val="1F0C3267"/>
    <w:rsid w:val="1F1E5ED5"/>
    <w:rsid w:val="1F625BEC"/>
    <w:rsid w:val="1F7A6B2E"/>
    <w:rsid w:val="206783F3"/>
    <w:rsid w:val="20902643"/>
    <w:rsid w:val="20C9482D"/>
    <w:rsid w:val="20CA6D9F"/>
    <w:rsid w:val="20FE87B3"/>
    <w:rsid w:val="21154EE2"/>
    <w:rsid w:val="2163CC4D"/>
    <w:rsid w:val="216F28A1"/>
    <w:rsid w:val="21D4438D"/>
    <w:rsid w:val="224B40E5"/>
    <w:rsid w:val="2300DE9A"/>
    <w:rsid w:val="2317E7DE"/>
    <w:rsid w:val="232EDF3F"/>
    <w:rsid w:val="2340A54F"/>
    <w:rsid w:val="24689156"/>
    <w:rsid w:val="2469299C"/>
    <w:rsid w:val="246FF323"/>
    <w:rsid w:val="247DEBFF"/>
    <w:rsid w:val="251B2CCA"/>
    <w:rsid w:val="255234A3"/>
    <w:rsid w:val="2559B30E"/>
    <w:rsid w:val="25AB22EE"/>
    <w:rsid w:val="25F057C7"/>
    <w:rsid w:val="265D3FA6"/>
    <w:rsid w:val="26A8088E"/>
    <w:rsid w:val="26B33E50"/>
    <w:rsid w:val="26C4CA37"/>
    <w:rsid w:val="27239830"/>
    <w:rsid w:val="273271CA"/>
    <w:rsid w:val="2789EA5E"/>
    <w:rsid w:val="279EA73C"/>
    <w:rsid w:val="27A89FA8"/>
    <w:rsid w:val="27ADDD28"/>
    <w:rsid w:val="27E8D5D6"/>
    <w:rsid w:val="28199498"/>
    <w:rsid w:val="28316843"/>
    <w:rsid w:val="2836D6B9"/>
    <w:rsid w:val="2852318A"/>
    <w:rsid w:val="287CA9B9"/>
    <w:rsid w:val="287F821A"/>
    <w:rsid w:val="291AEDC4"/>
    <w:rsid w:val="291C445F"/>
    <w:rsid w:val="2971470E"/>
    <w:rsid w:val="29724896"/>
    <w:rsid w:val="299375D3"/>
    <w:rsid w:val="29DAB85F"/>
    <w:rsid w:val="29E96004"/>
    <w:rsid w:val="2A05E3E5"/>
    <w:rsid w:val="2A0B5746"/>
    <w:rsid w:val="2A3B1B00"/>
    <w:rsid w:val="2A433E8C"/>
    <w:rsid w:val="2A50F16A"/>
    <w:rsid w:val="2A64DE35"/>
    <w:rsid w:val="2A6646AC"/>
    <w:rsid w:val="2A6E6945"/>
    <w:rsid w:val="2A971A1A"/>
    <w:rsid w:val="2A9A095C"/>
    <w:rsid w:val="2B8E86C9"/>
    <w:rsid w:val="2C5E3F5C"/>
    <w:rsid w:val="2C6AB97D"/>
    <w:rsid w:val="2CAE54EB"/>
    <w:rsid w:val="2D1859D4"/>
    <w:rsid w:val="2D1BD6C8"/>
    <w:rsid w:val="2DA432AC"/>
    <w:rsid w:val="2DD2C0B6"/>
    <w:rsid w:val="2E0D08E7"/>
    <w:rsid w:val="2E3D7464"/>
    <w:rsid w:val="2E73A793"/>
    <w:rsid w:val="2E9D6283"/>
    <w:rsid w:val="2E9FB2B4"/>
    <w:rsid w:val="2EF41BDF"/>
    <w:rsid w:val="2F13B216"/>
    <w:rsid w:val="2F601498"/>
    <w:rsid w:val="2F7F0FBF"/>
    <w:rsid w:val="2FDA2C02"/>
    <w:rsid w:val="2FF7D43A"/>
    <w:rsid w:val="30398AEB"/>
    <w:rsid w:val="305C85C7"/>
    <w:rsid w:val="30B08168"/>
    <w:rsid w:val="31883DD4"/>
    <w:rsid w:val="31949CB6"/>
    <w:rsid w:val="3264AA09"/>
    <w:rsid w:val="3275FBCD"/>
    <w:rsid w:val="327AD0C1"/>
    <w:rsid w:val="32E01743"/>
    <w:rsid w:val="330052B8"/>
    <w:rsid w:val="3309984F"/>
    <w:rsid w:val="3366C0A7"/>
    <w:rsid w:val="33A29FB1"/>
    <w:rsid w:val="33DA6F94"/>
    <w:rsid w:val="341577D1"/>
    <w:rsid w:val="344711A3"/>
    <w:rsid w:val="34CA157B"/>
    <w:rsid w:val="3513C8D2"/>
    <w:rsid w:val="3526B5BA"/>
    <w:rsid w:val="35446EC4"/>
    <w:rsid w:val="356EAA97"/>
    <w:rsid w:val="35C7AC97"/>
    <w:rsid w:val="35CE5D8A"/>
    <w:rsid w:val="361AEFBD"/>
    <w:rsid w:val="362CE610"/>
    <w:rsid w:val="364747A5"/>
    <w:rsid w:val="36DA86B6"/>
    <w:rsid w:val="36F8DBF9"/>
    <w:rsid w:val="3715430C"/>
    <w:rsid w:val="3798DA0C"/>
    <w:rsid w:val="37A36D9A"/>
    <w:rsid w:val="3811C199"/>
    <w:rsid w:val="388793C4"/>
    <w:rsid w:val="38FD3976"/>
    <w:rsid w:val="38FDC9D8"/>
    <w:rsid w:val="3943E7E9"/>
    <w:rsid w:val="39877F4E"/>
    <w:rsid w:val="399D27DC"/>
    <w:rsid w:val="39B81420"/>
    <w:rsid w:val="39E0B0F2"/>
    <w:rsid w:val="39ECB88D"/>
    <w:rsid w:val="3A1A9190"/>
    <w:rsid w:val="3A60D5F8"/>
    <w:rsid w:val="3A922841"/>
    <w:rsid w:val="3B3C4F03"/>
    <w:rsid w:val="3B3F37F4"/>
    <w:rsid w:val="3B670F5F"/>
    <w:rsid w:val="3B70F694"/>
    <w:rsid w:val="3B873EDD"/>
    <w:rsid w:val="3BBB0DF2"/>
    <w:rsid w:val="3CA73767"/>
    <w:rsid w:val="3CCE8F26"/>
    <w:rsid w:val="3CEE9A12"/>
    <w:rsid w:val="3D0000DB"/>
    <w:rsid w:val="3D5EF627"/>
    <w:rsid w:val="3DF518A2"/>
    <w:rsid w:val="3E48A7B4"/>
    <w:rsid w:val="3E7A7761"/>
    <w:rsid w:val="3EE0B536"/>
    <w:rsid w:val="3F64C9A1"/>
    <w:rsid w:val="3F6F4C89"/>
    <w:rsid w:val="3F996D8E"/>
    <w:rsid w:val="3FB38232"/>
    <w:rsid w:val="3FC11C37"/>
    <w:rsid w:val="401CBA5F"/>
    <w:rsid w:val="402CC46F"/>
    <w:rsid w:val="40B3C3AD"/>
    <w:rsid w:val="410082C4"/>
    <w:rsid w:val="4118D8B8"/>
    <w:rsid w:val="4133B49F"/>
    <w:rsid w:val="4166B824"/>
    <w:rsid w:val="41D2B0D6"/>
    <w:rsid w:val="425D348D"/>
    <w:rsid w:val="42D8DD6E"/>
    <w:rsid w:val="431AEAC4"/>
    <w:rsid w:val="437591EA"/>
    <w:rsid w:val="4383516F"/>
    <w:rsid w:val="43892E41"/>
    <w:rsid w:val="438DC566"/>
    <w:rsid w:val="439D343D"/>
    <w:rsid w:val="441E9B30"/>
    <w:rsid w:val="4469FA80"/>
    <w:rsid w:val="44974357"/>
    <w:rsid w:val="44A8E263"/>
    <w:rsid w:val="44A94567"/>
    <w:rsid w:val="452416E1"/>
    <w:rsid w:val="452A65D1"/>
    <w:rsid w:val="453EFC64"/>
    <w:rsid w:val="4541A689"/>
    <w:rsid w:val="45B11979"/>
    <w:rsid w:val="462D93C8"/>
    <w:rsid w:val="46449EA9"/>
    <w:rsid w:val="4672DE2B"/>
    <w:rsid w:val="46C59A50"/>
    <w:rsid w:val="46CFAFAC"/>
    <w:rsid w:val="46D57402"/>
    <w:rsid w:val="46DBABA8"/>
    <w:rsid w:val="47D092A3"/>
    <w:rsid w:val="47DDBCF9"/>
    <w:rsid w:val="4804C3D0"/>
    <w:rsid w:val="48650079"/>
    <w:rsid w:val="4867BF92"/>
    <w:rsid w:val="4895FD91"/>
    <w:rsid w:val="48A48CCE"/>
    <w:rsid w:val="48AC5F77"/>
    <w:rsid w:val="49398D52"/>
    <w:rsid w:val="49550218"/>
    <w:rsid w:val="495FEA74"/>
    <w:rsid w:val="497BDD76"/>
    <w:rsid w:val="49F347FB"/>
    <w:rsid w:val="4A464FDC"/>
    <w:rsid w:val="4A7408D0"/>
    <w:rsid w:val="4ADA84A6"/>
    <w:rsid w:val="4AEB3179"/>
    <w:rsid w:val="4AF89EB5"/>
    <w:rsid w:val="4B069DA0"/>
    <w:rsid w:val="4B13BFF7"/>
    <w:rsid w:val="4B6BAC80"/>
    <w:rsid w:val="4BB3B089"/>
    <w:rsid w:val="4BC0F5FD"/>
    <w:rsid w:val="4BFCD9D6"/>
    <w:rsid w:val="4C16F8DA"/>
    <w:rsid w:val="4D05A8DD"/>
    <w:rsid w:val="4D0FF53A"/>
    <w:rsid w:val="4D4714F1"/>
    <w:rsid w:val="4DCDD3A1"/>
    <w:rsid w:val="4DFA4A47"/>
    <w:rsid w:val="4DFA916B"/>
    <w:rsid w:val="4ED525FB"/>
    <w:rsid w:val="4F115FC0"/>
    <w:rsid w:val="4F731B35"/>
    <w:rsid w:val="4F7A9844"/>
    <w:rsid w:val="4F87A43F"/>
    <w:rsid w:val="5025720B"/>
    <w:rsid w:val="504EAF14"/>
    <w:rsid w:val="50B16294"/>
    <w:rsid w:val="50EBA49C"/>
    <w:rsid w:val="50F911A3"/>
    <w:rsid w:val="5199C39B"/>
    <w:rsid w:val="519AD965"/>
    <w:rsid w:val="51F01AAE"/>
    <w:rsid w:val="51FC898E"/>
    <w:rsid w:val="51FFAC01"/>
    <w:rsid w:val="52449882"/>
    <w:rsid w:val="53100028"/>
    <w:rsid w:val="53D08F0A"/>
    <w:rsid w:val="540FFF3D"/>
    <w:rsid w:val="54457514"/>
    <w:rsid w:val="54627E4C"/>
    <w:rsid w:val="54775126"/>
    <w:rsid w:val="5485E684"/>
    <w:rsid w:val="54EF14CF"/>
    <w:rsid w:val="5583D765"/>
    <w:rsid w:val="55B0F9B4"/>
    <w:rsid w:val="5620A0BB"/>
    <w:rsid w:val="563F5535"/>
    <w:rsid w:val="56C45E4E"/>
    <w:rsid w:val="57377ADE"/>
    <w:rsid w:val="57398479"/>
    <w:rsid w:val="57686493"/>
    <w:rsid w:val="57A26FFA"/>
    <w:rsid w:val="57B9C48D"/>
    <w:rsid w:val="58C4B30D"/>
    <w:rsid w:val="58F6617F"/>
    <w:rsid w:val="58FCC0D7"/>
    <w:rsid w:val="5923A18A"/>
    <w:rsid w:val="592D6414"/>
    <w:rsid w:val="594848FB"/>
    <w:rsid w:val="59C26317"/>
    <w:rsid w:val="5A3805F1"/>
    <w:rsid w:val="5A3C5FF6"/>
    <w:rsid w:val="5A49352B"/>
    <w:rsid w:val="5A640BED"/>
    <w:rsid w:val="5B488BC7"/>
    <w:rsid w:val="5B78A71C"/>
    <w:rsid w:val="5B79F3E8"/>
    <w:rsid w:val="5BA06582"/>
    <w:rsid w:val="5C1EA4E6"/>
    <w:rsid w:val="5C3FA95C"/>
    <w:rsid w:val="5CAE6DD3"/>
    <w:rsid w:val="5D4B720A"/>
    <w:rsid w:val="5E19C752"/>
    <w:rsid w:val="5EB7F172"/>
    <w:rsid w:val="5F10529F"/>
    <w:rsid w:val="5FF77027"/>
    <w:rsid w:val="60AEC0F7"/>
    <w:rsid w:val="60BFA70E"/>
    <w:rsid w:val="60F5A693"/>
    <w:rsid w:val="61F8BB41"/>
    <w:rsid w:val="624B3EC7"/>
    <w:rsid w:val="62DAD4DC"/>
    <w:rsid w:val="63095FFE"/>
    <w:rsid w:val="631D3003"/>
    <w:rsid w:val="63C66EE5"/>
    <w:rsid w:val="640764E3"/>
    <w:rsid w:val="640A4ED6"/>
    <w:rsid w:val="642E4CD4"/>
    <w:rsid w:val="644CE6F2"/>
    <w:rsid w:val="64885802"/>
    <w:rsid w:val="64A10781"/>
    <w:rsid w:val="64B48E6D"/>
    <w:rsid w:val="64D70D59"/>
    <w:rsid w:val="650E515E"/>
    <w:rsid w:val="651A8142"/>
    <w:rsid w:val="65AFC457"/>
    <w:rsid w:val="664B3818"/>
    <w:rsid w:val="66922049"/>
    <w:rsid w:val="66E58E70"/>
    <w:rsid w:val="66F281F1"/>
    <w:rsid w:val="67161FEB"/>
    <w:rsid w:val="67313497"/>
    <w:rsid w:val="6740BDFD"/>
    <w:rsid w:val="67B0B221"/>
    <w:rsid w:val="67F50762"/>
    <w:rsid w:val="6812F623"/>
    <w:rsid w:val="6827B3BA"/>
    <w:rsid w:val="6861BA14"/>
    <w:rsid w:val="68E3C8EA"/>
    <w:rsid w:val="692E1AE0"/>
    <w:rsid w:val="698731B3"/>
    <w:rsid w:val="6990F4C0"/>
    <w:rsid w:val="69B14397"/>
    <w:rsid w:val="69C91D74"/>
    <w:rsid w:val="69CF17E7"/>
    <w:rsid w:val="69D64B08"/>
    <w:rsid w:val="69EBF90B"/>
    <w:rsid w:val="6A0CD3AC"/>
    <w:rsid w:val="6A23F50C"/>
    <w:rsid w:val="6A5DF772"/>
    <w:rsid w:val="6A74818B"/>
    <w:rsid w:val="6A7F2936"/>
    <w:rsid w:val="6B2B4A47"/>
    <w:rsid w:val="6B303461"/>
    <w:rsid w:val="6B3728F8"/>
    <w:rsid w:val="6B66C044"/>
    <w:rsid w:val="6BAC2EBC"/>
    <w:rsid w:val="6C663148"/>
    <w:rsid w:val="6C781565"/>
    <w:rsid w:val="6CA6978B"/>
    <w:rsid w:val="6CAB2AEA"/>
    <w:rsid w:val="6CB0517C"/>
    <w:rsid w:val="6D984363"/>
    <w:rsid w:val="6E5F84C2"/>
    <w:rsid w:val="6E8F9827"/>
    <w:rsid w:val="6EAE5448"/>
    <w:rsid w:val="6EAF4080"/>
    <w:rsid w:val="6EE54C2D"/>
    <w:rsid w:val="6EF3E2F1"/>
    <w:rsid w:val="6FAA2D15"/>
    <w:rsid w:val="6FE353BB"/>
    <w:rsid w:val="70064B10"/>
    <w:rsid w:val="706263E7"/>
    <w:rsid w:val="70652E77"/>
    <w:rsid w:val="70C86ED4"/>
    <w:rsid w:val="70DDA45B"/>
    <w:rsid w:val="70E3B0B6"/>
    <w:rsid w:val="71155862"/>
    <w:rsid w:val="713D936B"/>
    <w:rsid w:val="7191C13E"/>
    <w:rsid w:val="71A1EC7E"/>
    <w:rsid w:val="71E5D74C"/>
    <w:rsid w:val="71EBC94A"/>
    <w:rsid w:val="71F07FA3"/>
    <w:rsid w:val="7300B334"/>
    <w:rsid w:val="73148AC8"/>
    <w:rsid w:val="7325BE7F"/>
    <w:rsid w:val="73B9E1E3"/>
    <w:rsid w:val="7401B229"/>
    <w:rsid w:val="74062711"/>
    <w:rsid w:val="74227C51"/>
    <w:rsid w:val="745AF99C"/>
    <w:rsid w:val="74888292"/>
    <w:rsid w:val="74F5F2F3"/>
    <w:rsid w:val="751F671D"/>
    <w:rsid w:val="757AF3B1"/>
    <w:rsid w:val="758693FE"/>
    <w:rsid w:val="75A04085"/>
    <w:rsid w:val="75A9E801"/>
    <w:rsid w:val="75D77074"/>
    <w:rsid w:val="75D81A82"/>
    <w:rsid w:val="75F0EFDA"/>
    <w:rsid w:val="7610D188"/>
    <w:rsid w:val="762FA487"/>
    <w:rsid w:val="76444645"/>
    <w:rsid w:val="766A8C68"/>
    <w:rsid w:val="76E8338C"/>
    <w:rsid w:val="76FFDAB0"/>
    <w:rsid w:val="772DBA90"/>
    <w:rsid w:val="775BAD8D"/>
    <w:rsid w:val="775F791C"/>
    <w:rsid w:val="777EBE6D"/>
    <w:rsid w:val="778D54A0"/>
    <w:rsid w:val="780962C8"/>
    <w:rsid w:val="780C1794"/>
    <w:rsid w:val="781D22BC"/>
    <w:rsid w:val="78675FD9"/>
    <w:rsid w:val="7892961C"/>
    <w:rsid w:val="78A79A02"/>
    <w:rsid w:val="78DCD375"/>
    <w:rsid w:val="78FD4D85"/>
    <w:rsid w:val="7980490A"/>
    <w:rsid w:val="79B2DA56"/>
    <w:rsid w:val="79D9EDDA"/>
    <w:rsid w:val="7A406337"/>
    <w:rsid w:val="7A6E1BC9"/>
    <w:rsid w:val="7A710DD0"/>
    <w:rsid w:val="7B13663F"/>
    <w:rsid w:val="7B68E945"/>
    <w:rsid w:val="7B770F02"/>
    <w:rsid w:val="7B890FC6"/>
    <w:rsid w:val="7BE064C7"/>
    <w:rsid w:val="7C13C5FD"/>
    <w:rsid w:val="7C6F2C6E"/>
    <w:rsid w:val="7C6FBB9D"/>
    <w:rsid w:val="7DDB8D69"/>
    <w:rsid w:val="7E9E756E"/>
    <w:rsid w:val="7F46332F"/>
    <w:rsid w:val="7F91881C"/>
    <w:rsid w:val="7FCB8B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9E406D"/>
  <w15:docId w15:val="{4445A23C-E0D5-4DF9-B720-9D15604D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94FF6"/>
    <w:pPr>
      <w:spacing w:after="120" w:line="360" w:lineRule="auto"/>
      <w:ind w:firstLine="567"/>
      <w:jc w:val="both"/>
    </w:pPr>
    <w:rPr>
      <w:rFonts w:ascii="Times New Roman" w:eastAsia="Times New Roman" w:hAnsi="Times New Roman" w:cs="Times New Roman"/>
      <w:sz w:val="24"/>
    </w:rPr>
  </w:style>
  <w:style w:type="paragraph" w:styleId="Titolo1">
    <w:name w:val="heading 1"/>
    <w:basedOn w:val="Normale"/>
    <w:link w:val="Titolo1Carattere"/>
    <w:uiPriority w:val="9"/>
    <w:qFormat/>
    <w:rsid w:val="00BE6C94"/>
    <w:pPr>
      <w:spacing w:before="360" w:after="240" w:line="240" w:lineRule="auto"/>
      <w:ind w:firstLine="0"/>
      <w:jc w:val="left"/>
      <w:outlineLvl w:val="0"/>
    </w:pPr>
    <w:rPr>
      <w:b/>
      <w:bCs/>
      <w:sz w:val="28"/>
      <w:szCs w:val="24"/>
    </w:rPr>
  </w:style>
  <w:style w:type="paragraph" w:styleId="Titolo2">
    <w:name w:val="heading 2"/>
    <w:basedOn w:val="Normale"/>
    <w:next w:val="Normale"/>
    <w:link w:val="Titolo2Carattere"/>
    <w:uiPriority w:val="9"/>
    <w:unhideWhenUsed/>
    <w:qFormat/>
    <w:rsid w:val="00BE6C94"/>
    <w:pPr>
      <w:keepNext/>
      <w:keepLines/>
      <w:spacing w:before="240" w:line="240" w:lineRule="auto"/>
      <w:ind w:firstLine="0"/>
      <w:outlineLvl w:val="1"/>
    </w:pPr>
    <w:rPr>
      <w:rFonts w:eastAsiaTheme="majorEastAsia" w:cstheme="majorBidi"/>
      <w:b/>
      <w:sz w:val="26"/>
      <w:szCs w:val="26"/>
    </w:rPr>
  </w:style>
  <w:style w:type="paragraph" w:styleId="Titolo3">
    <w:name w:val="heading 3"/>
    <w:basedOn w:val="Normale"/>
    <w:next w:val="Normale"/>
    <w:link w:val="Titolo3Carattere"/>
    <w:uiPriority w:val="9"/>
    <w:unhideWhenUsed/>
    <w:qFormat/>
    <w:rsid w:val="00BE6C94"/>
    <w:pPr>
      <w:keepNext/>
      <w:keepLines/>
      <w:spacing w:before="120" w:line="240" w:lineRule="auto"/>
      <w:ind w:firstLine="0"/>
      <w:outlineLvl w:val="2"/>
    </w:pPr>
    <w:rPr>
      <w:rFonts w:eastAsiaTheme="majorEastAsia" w:cstheme="majorBidi"/>
      <w:b/>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E6C94"/>
    <w:rPr>
      <w:rFonts w:ascii="Times New Roman" w:eastAsia="Times New Roman" w:hAnsi="Times New Roman" w:cs="Times New Roman"/>
      <w:b/>
      <w:bCs/>
      <w:sz w:val="28"/>
      <w:szCs w:val="24"/>
    </w:rPr>
  </w:style>
  <w:style w:type="paragraph" w:styleId="Corpotesto">
    <w:name w:val="Body Text"/>
    <w:basedOn w:val="Normale"/>
    <w:link w:val="CorpotestoCarattere"/>
    <w:uiPriority w:val="1"/>
    <w:qFormat/>
    <w:pPr>
      <w:ind w:left="282"/>
    </w:pPr>
    <w:rPr>
      <w:szCs w:val="24"/>
    </w:rPr>
  </w:style>
  <w:style w:type="character" w:customStyle="1" w:styleId="CorpotestoCarattere">
    <w:name w:val="Corpo testo Carattere"/>
    <w:basedOn w:val="Carpredefinitoparagrafo"/>
    <w:link w:val="Corpotesto"/>
    <w:uiPriority w:val="1"/>
    <w:rsid w:val="00031785"/>
    <w:rPr>
      <w:rFonts w:ascii="Times New Roman" w:eastAsia="Times New Roman" w:hAnsi="Times New Roman" w:cs="Times New Roman"/>
      <w:sz w:val="24"/>
      <w:szCs w:val="24"/>
    </w:rPr>
  </w:style>
  <w:style w:type="paragraph" w:styleId="Paragrafoelenco">
    <w:name w:val="List Paragraph"/>
    <w:basedOn w:val="Normale"/>
    <w:uiPriority w:val="34"/>
    <w:qFormat/>
    <w:pPr>
      <w:ind w:left="1091" w:hanging="360"/>
    </w:pPr>
  </w:style>
  <w:style w:type="paragraph" w:customStyle="1" w:styleId="TableParagraph">
    <w:name w:val="Table Paragraph"/>
    <w:basedOn w:val="Normale"/>
    <w:uiPriority w:val="1"/>
    <w:qFormat/>
    <w:pPr>
      <w:ind w:left="110"/>
    </w:pPr>
  </w:style>
  <w:style w:type="character" w:styleId="Enfasicorsivo">
    <w:name w:val="Emphasis"/>
    <w:basedOn w:val="Carpredefinitoparagrafo"/>
    <w:uiPriority w:val="20"/>
    <w:qFormat/>
    <w:rsid w:val="00E9035E"/>
    <w:rPr>
      <w:i/>
      <w:iCs/>
    </w:rPr>
  </w:style>
  <w:style w:type="character" w:styleId="Collegamentoipertestuale">
    <w:name w:val="Hyperlink"/>
    <w:basedOn w:val="Carpredefinitoparagrafo"/>
    <w:uiPriority w:val="99"/>
    <w:unhideWhenUsed/>
    <w:rsid w:val="00E9035E"/>
    <w:rPr>
      <w:color w:val="0000FF"/>
      <w:u w:val="single"/>
    </w:rPr>
  </w:style>
  <w:style w:type="paragraph" w:styleId="NormaleWeb">
    <w:name w:val="Normal (Web)"/>
    <w:basedOn w:val="Normale"/>
    <w:uiPriority w:val="99"/>
    <w:unhideWhenUsed/>
    <w:rsid w:val="00E9035E"/>
    <w:pPr>
      <w:widowControl/>
      <w:autoSpaceDE/>
      <w:autoSpaceDN/>
      <w:spacing w:before="100" w:beforeAutospacing="1" w:after="100" w:afterAutospacing="1"/>
    </w:pPr>
    <w:rPr>
      <w:szCs w:val="24"/>
      <w:lang w:val="it-IT" w:eastAsia="it-IT"/>
    </w:rPr>
  </w:style>
  <w:style w:type="character" w:styleId="Enfasigrassetto">
    <w:name w:val="Strong"/>
    <w:basedOn w:val="Carpredefinitoparagrafo"/>
    <w:uiPriority w:val="22"/>
    <w:qFormat/>
    <w:rsid w:val="00E9035E"/>
    <w:rPr>
      <w:b/>
      <w:bCs/>
    </w:rPr>
  </w:style>
  <w:style w:type="character" w:customStyle="1" w:styleId="Titolo2Carattere">
    <w:name w:val="Titolo 2 Carattere"/>
    <w:basedOn w:val="Carpredefinitoparagrafo"/>
    <w:link w:val="Titolo2"/>
    <w:uiPriority w:val="9"/>
    <w:rsid w:val="00BE6C94"/>
    <w:rPr>
      <w:rFonts w:ascii="Times New Roman" w:eastAsiaTheme="majorEastAsia" w:hAnsi="Times New Roman" w:cstheme="majorBidi"/>
      <w:b/>
      <w:sz w:val="26"/>
      <w:szCs w:val="26"/>
    </w:rPr>
  </w:style>
  <w:style w:type="character" w:customStyle="1" w:styleId="Titolo3Carattere">
    <w:name w:val="Titolo 3 Carattere"/>
    <w:basedOn w:val="Carpredefinitoparagrafo"/>
    <w:link w:val="Titolo3"/>
    <w:uiPriority w:val="9"/>
    <w:rsid w:val="00BE6C94"/>
    <w:rPr>
      <w:rFonts w:ascii="Times New Roman" w:eastAsiaTheme="majorEastAsia" w:hAnsi="Times New Roman" w:cstheme="majorBidi"/>
      <w:b/>
      <w:sz w:val="24"/>
      <w:szCs w:val="24"/>
    </w:rPr>
  </w:style>
  <w:style w:type="paragraph" w:styleId="Titolosommario">
    <w:name w:val="TOC Heading"/>
    <w:basedOn w:val="Titolo1"/>
    <w:next w:val="Normale"/>
    <w:uiPriority w:val="39"/>
    <w:unhideWhenUsed/>
    <w:qFormat/>
    <w:rsid w:val="008227BD"/>
    <w:pPr>
      <w:keepNext/>
      <w:keepLines/>
      <w:widowControl/>
      <w:autoSpaceDE/>
      <w:autoSpaceDN/>
      <w:spacing w:after="0" w:line="259" w:lineRule="auto"/>
      <w:outlineLvl w:val="9"/>
    </w:pPr>
    <w:rPr>
      <w:rFonts w:asciiTheme="majorHAnsi" w:eastAsiaTheme="majorEastAsia" w:hAnsiTheme="majorHAnsi" w:cstheme="majorBidi"/>
      <w:b w:val="0"/>
      <w:bCs w:val="0"/>
      <w:color w:val="365F91" w:themeColor="accent1" w:themeShade="BF"/>
      <w:sz w:val="32"/>
      <w:szCs w:val="32"/>
      <w:lang w:val="it-IT" w:eastAsia="it-IT"/>
    </w:rPr>
  </w:style>
  <w:style w:type="paragraph" w:styleId="Sommario1">
    <w:name w:val="toc 1"/>
    <w:basedOn w:val="Normale"/>
    <w:next w:val="Normale"/>
    <w:autoRedefine/>
    <w:uiPriority w:val="39"/>
    <w:unhideWhenUsed/>
    <w:rsid w:val="008227BD"/>
    <w:pPr>
      <w:tabs>
        <w:tab w:val="right" w:leader="dot" w:pos="10057"/>
      </w:tabs>
      <w:spacing w:after="100" w:line="240" w:lineRule="auto"/>
      <w:jc w:val="center"/>
    </w:pPr>
  </w:style>
  <w:style w:type="paragraph" w:styleId="Sommario2">
    <w:name w:val="toc 2"/>
    <w:basedOn w:val="Normale"/>
    <w:next w:val="Normale"/>
    <w:autoRedefine/>
    <w:uiPriority w:val="39"/>
    <w:unhideWhenUsed/>
    <w:rsid w:val="008227BD"/>
    <w:pPr>
      <w:spacing w:after="100"/>
      <w:ind w:left="240"/>
    </w:pPr>
  </w:style>
  <w:style w:type="paragraph" w:styleId="Sommario3">
    <w:name w:val="toc 3"/>
    <w:basedOn w:val="Normale"/>
    <w:next w:val="Normale"/>
    <w:autoRedefine/>
    <w:uiPriority w:val="39"/>
    <w:unhideWhenUsed/>
    <w:rsid w:val="008227BD"/>
    <w:pPr>
      <w:spacing w:after="100"/>
      <w:ind w:left="480"/>
    </w:pPr>
  </w:style>
  <w:style w:type="table" w:styleId="Grigliatabellachiara">
    <w:name w:val="Grid Table Light"/>
    <w:basedOn w:val="Tabellanormale"/>
    <w:uiPriority w:val="40"/>
    <w:rsid w:val="00B242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zionenonrisolta">
    <w:name w:val="Unresolved Mention"/>
    <w:basedOn w:val="Carpredefinitoparagrafo"/>
    <w:uiPriority w:val="99"/>
    <w:semiHidden/>
    <w:unhideWhenUsed/>
    <w:rsid w:val="00B2423C"/>
    <w:rPr>
      <w:color w:val="605E5C"/>
      <w:shd w:val="clear" w:color="auto" w:fill="E1DFDD"/>
    </w:rPr>
  </w:style>
  <w:style w:type="paragraph" w:styleId="Sommario4">
    <w:name w:val="toc 4"/>
    <w:basedOn w:val="Normale"/>
    <w:next w:val="Normale"/>
    <w:autoRedefine/>
    <w:uiPriority w:val="39"/>
    <w:unhideWhenUsed/>
    <w:rsid w:val="00B14AC7"/>
    <w:pPr>
      <w:widowControl/>
      <w:autoSpaceDE/>
      <w:autoSpaceDN/>
      <w:spacing w:after="100" w:line="259" w:lineRule="auto"/>
      <w:ind w:left="660" w:firstLine="0"/>
      <w:jc w:val="left"/>
    </w:pPr>
    <w:rPr>
      <w:rFonts w:asciiTheme="minorHAnsi" w:eastAsiaTheme="minorEastAsia" w:hAnsiTheme="minorHAnsi" w:cstheme="minorBidi"/>
      <w:sz w:val="22"/>
      <w:lang w:val="it-IT" w:eastAsia="it-IT"/>
    </w:rPr>
  </w:style>
  <w:style w:type="paragraph" w:styleId="Sommario5">
    <w:name w:val="toc 5"/>
    <w:basedOn w:val="Normale"/>
    <w:next w:val="Normale"/>
    <w:autoRedefine/>
    <w:uiPriority w:val="39"/>
    <w:unhideWhenUsed/>
    <w:rsid w:val="00B14AC7"/>
    <w:pPr>
      <w:widowControl/>
      <w:autoSpaceDE/>
      <w:autoSpaceDN/>
      <w:spacing w:after="100" w:line="259" w:lineRule="auto"/>
      <w:ind w:left="880" w:firstLine="0"/>
      <w:jc w:val="left"/>
    </w:pPr>
    <w:rPr>
      <w:rFonts w:asciiTheme="minorHAnsi" w:eastAsiaTheme="minorEastAsia" w:hAnsiTheme="minorHAnsi" w:cstheme="minorBidi"/>
      <w:sz w:val="22"/>
      <w:lang w:val="it-IT" w:eastAsia="it-IT"/>
    </w:rPr>
  </w:style>
  <w:style w:type="paragraph" w:styleId="Sommario6">
    <w:name w:val="toc 6"/>
    <w:basedOn w:val="Normale"/>
    <w:next w:val="Normale"/>
    <w:autoRedefine/>
    <w:uiPriority w:val="39"/>
    <w:unhideWhenUsed/>
    <w:rsid w:val="00B14AC7"/>
    <w:pPr>
      <w:widowControl/>
      <w:autoSpaceDE/>
      <w:autoSpaceDN/>
      <w:spacing w:after="100" w:line="259" w:lineRule="auto"/>
      <w:ind w:left="1100" w:firstLine="0"/>
      <w:jc w:val="left"/>
    </w:pPr>
    <w:rPr>
      <w:rFonts w:asciiTheme="minorHAnsi" w:eastAsiaTheme="minorEastAsia" w:hAnsiTheme="minorHAnsi" w:cstheme="minorBidi"/>
      <w:sz w:val="22"/>
      <w:lang w:val="it-IT" w:eastAsia="it-IT"/>
    </w:rPr>
  </w:style>
  <w:style w:type="paragraph" w:styleId="Sommario7">
    <w:name w:val="toc 7"/>
    <w:basedOn w:val="Normale"/>
    <w:next w:val="Normale"/>
    <w:autoRedefine/>
    <w:uiPriority w:val="39"/>
    <w:unhideWhenUsed/>
    <w:rsid w:val="00B14AC7"/>
    <w:pPr>
      <w:widowControl/>
      <w:autoSpaceDE/>
      <w:autoSpaceDN/>
      <w:spacing w:after="100" w:line="259" w:lineRule="auto"/>
      <w:ind w:left="1320" w:firstLine="0"/>
      <w:jc w:val="left"/>
    </w:pPr>
    <w:rPr>
      <w:rFonts w:asciiTheme="minorHAnsi" w:eastAsiaTheme="minorEastAsia" w:hAnsiTheme="minorHAnsi" w:cstheme="minorBidi"/>
      <w:sz w:val="22"/>
      <w:lang w:val="it-IT" w:eastAsia="it-IT"/>
    </w:rPr>
  </w:style>
  <w:style w:type="paragraph" w:styleId="Sommario8">
    <w:name w:val="toc 8"/>
    <w:basedOn w:val="Normale"/>
    <w:next w:val="Normale"/>
    <w:autoRedefine/>
    <w:uiPriority w:val="39"/>
    <w:unhideWhenUsed/>
    <w:rsid w:val="00B14AC7"/>
    <w:pPr>
      <w:widowControl/>
      <w:autoSpaceDE/>
      <w:autoSpaceDN/>
      <w:spacing w:after="100" w:line="259" w:lineRule="auto"/>
      <w:ind w:left="1540" w:firstLine="0"/>
      <w:jc w:val="left"/>
    </w:pPr>
    <w:rPr>
      <w:rFonts w:asciiTheme="minorHAnsi" w:eastAsiaTheme="minorEastAsia" w:hAnsiTheme="minorHAnsi" w:cstheme="minorBidi"/>
      <w:sz w:val="22"/>
      <w:lang w:val="it-IT" w:eastAsia="it-IT"/>
    </w:rPr>
  </w:style>
  <w:style w:type="paragraph" w:styleId="Sommario9">
    <w:name w:val="toc 9"/>
    <w:basedOn w:val="Normale"/>
    <w:next w:val="Normale"/>
    <w:autoRedefine/>
    <w:uiPriority w:val="39"/>
    <w:unhideWhenUsed/>
    <w:rsid w:val="00B14AC7"/>
    <w:pPr>
      <w:widowControl/>
      <w:autoSpaceDE/>
      <w:autoSpaceDN/>
      <w:spacing w:after="100" w:line="259" w:lineRule="auto"/>
      <w:ind w:left="1760" w:firstLine="0"/>
      <w:jc w:val="left"/>
    </w:pPr>
    <w:rPr>
      <w:rFonts w:asciiTheme="minorHAnsi" w:eastAsiaTheme="minorEastAsia" w:hAnsiTheme="minorHAnsi" w:cstheme="minorBidi"/>
      <w:sz w:val="22"/>
      <w:lang w:val="it-IT" w:eastAsia="it-IT"/>
    </w:rPr>
  </w:style>
  <w:style w:type="table" w:styleId="Grigliatabella">
    <w:name w:val="Table Grid"/>
    <w:basedOn w:val="Tabellanormale"/>
    <w:uiPriority w:val="39"/>
    <w:rsid w:val="00A14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EA662B"/>
    <w:pPr>
      <w:spacing w:after="200" w:line="240" w:lineRule="auto"/>
    </w:pPr>
    <w:rPr>
      <w:i/>
      <w:iCs/>
      <w:color w:val="1F497D" w:themeColor="text2"/>
      <w:sz w:val="18"/>
      <w:szCs w:val="18"/>
    </w:rPr>
  </w:style>
  <w:style w:type="paragraph" w:styleId="Indicedellefigure">
    <w:name w:val="table of figures"/>
    <w:basedOn w:val="Normale"/>
    <w:next w:val="Normale"/>
    <w:uiPriority w:val="99"/>
    <w:unhideWhenUsed/>
    <w:rsid w:val="001C5F72"/>
    <w:pPr>
      <w:spacing w:after="0"/>
    </w:pPr>
  </w:style>
  <w:style w:type="paragraph" w:customStyle="1" w:styleId="paragraph">
    <w:name w:val="paragraph"/>
    <w:basedOn w:val="Normale"/>
    <w:rsid w:val="00881092"/>
    <w:pPr>
      <w:widowControl/>
      <w:autoSpaceDE/>
      <w:autoSpaceDN/>
      <w:spacing w:before="100" w:beforeAutospacing="1" w:after="100" w:afterAutospacing="1" w:line="240" w:lineRule="auto"/>
      <w:ind w:firstLine="0"/>
      <w:jc w:val="left"/>
    </w:pPr>
    <w:rPr>
      <w:szCs w:val="24"/>
      <w:lang w:val="it-IT" w:eastAsia="it-IT"/>
    </w:rPr>
  </w:style>
  <w:style w:type="character" w:customStyle="1" w:styleId="normaltextrun">
    <w:name w:val="normaltextrun"/>
    <w:basedOn w:val="Carpredefinitoparagrafo"/>
    <w:rsid w:val="00881092"/>
  </w:style>
  <w:style w:type="character" w:customStyle="1" w:styleId="eop">
    <w:name w:val="eop"/>
    <w:basedOn w:val="Carpredefinitoparagrafo"/>
    <w:rsid w:val="00881092"/>
  </w:style>
  <w:style w:type="paragraph" w:styleId="Testonotaapidipagina">
    <w:name w:val="footnote text"/>
    <w:basedOn w:val="Normale"/>
    <w:link w:val="TestonotaapidipaginaCarattere"/>
    <w:uiPriority w:val="99"/>
    <w:semiHidden/>
    <w:unhideWhenUsed/>
    <w:rsid w:val="008B7CB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B7CBF"/>
    <w:rPr>
      <w:rFonts w:ascii="Times New Roman" w:eastAsia="Times New Roman" w:hAnsi="Times New Roman" w:cs="Times New Roman"/>
      <w:sz w:val="20"/>
      <w:szCs w:val="20"/>
    </w:rPr>
  </w:style>
  <w:style w:type="character" w:styleId="Rimandonotaapidipagina">
    <w:name w:val="footnote reference"/>
    <w:basedOn w:val="Carpredefinitoparagrafo"/>
    <w:uiPriority w:val="99"/>
    <w:semiHidden/>
    <w:unhideWhenUsed/>
    <w:rsid w:val="008B7CBF"/>
    <w:rPr>
      <w:vertAlign w:val="superscript"/>
    </w:rPr>
  </w:style>
  <w:style w:type="paragraph" w:styleId="Intestazione">
    <w:name w:val="header"/>
    <w:basedOn w:val="Normale"/>
    <w:link w:val="IntestazioneCarattere"/>
    <w:uiPriority w:val="99"/>
    <w:unhideWhenUsed/>
    <w:rsid w:val="00696F7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96F75"/>
    <w:rPr>
      <w:rFonts w:ascii="Times New Roman" w:eastAsia="Times New Roman" w:hAnsi="Times New Roman" w:cs="Times New Roman"/>
      <w:sz w:val="24"/>
    </w:rPr>
  </w:style>
  <w:style w:type="paragraph" w:styleId="Pidipagina">
    <w:name w:val="footer"/>
    <w:basedOn w:val="Normale"/>
    <w:link w:val="PidipaginaCarattere"/>
    <w:uiPriority w:val="99"/>
    <w:unhideWhenUsed/>
    <w:rsid w:val="00696F7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96F75"/>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10267">
      <w:bodyDiv w:val="1"/>
      <w:marLeft w:val="0"/>
      <w:marRight w:val="0"/>
      <w:marTop w:val="0"/>
      <w:marBottom w:val="0"/>
      <w:divBdr>
        <w:top w:val="none" w:sz="0" w:space="0" w:color="auto"/>
        <w:left w:val="none" w:sz="0" w:space="0" w:color="auto"/>
        <w:bottom w:val="none" w:sz="0" w:space="0" w:color="auto"/>
        <w:right w:val="none" w:sz="0" w:space="0" w:color="auto"/>
      </w:divBdr>
    </w:div>
    <w:div w:id="115762285">
      <w:bodyDiv w:val="1"/>
      <w:marLeft w:val="0"/>
      <w:marRight w:val="0"/>
      <w:marTop w:val="0"/>
      <w:marBottom w:val="0"/>
      <w:divBdr>
        <w:top w:val="none" w:sz="0" w:space="0" w:color="auto"/>
        <w:left w:val="none" w:sz="0" w:space="0" w:color="auto"/>
        <w:bottom w:val="none" w:sz="0" w:space="0" w:color="auto"/>
        <w:right w:val="none" w:sz="0" w:space="0" w:color="auto"/>
      </w:divBdr>
    </w:div>
    <w:div w:id="267081645">
      <w:bodyDiv w:val="1"/>
      <w:marLeft w:val="0"/>
      <w:marRight w:val="0"/>
      <w:marTop w:val="0"/>
      <w:marBottom w:val="0"/>
      <w:divBdr>
        <w:top w:val="none" w:sz="0" w:space="0" w:color="auto"/>
        <w:left w:val="none" w:sz="0" w:space="0" w:color="auto"/>
        <w:bottom w:val="none" w:sz="0" w:space="0" w:color="auto"/>
        <w:right w:val="none" w:sz="0" w:space="0" w:color="auto"/>
      </w:divBdr>
    </w:div>
    <w:div w:id="342518394">
      <w:bodyDiv w:val="1"/>
      <w:marLeft w:val="0"/>
      <w:marRight w:val="0"/>
      <w:marTop w:val="0"/>
      <w:marBottom w:val="0"/>
      <w:divBdr>
        <w:top w:val="none" w:sz="0" w:space="0" w:color="auto"/>
        <w:left w:val="none" w:sz="0" w:space="0" w:color="auto"/>
        <w:bottom w:val="none" w:sz="0" w:space="0" w:color="auto"/>
        <w:right w:val="none" w:sz="0" w:space="0" w:color="auto"/>
      </w:divBdr>
      <w:divsChild>
        <w:div w:id="1519746">
          <w:marLeft w:val="0"/>
          <w:marRight w:val="0"/>
          <w:marTop w:val="0"/>
          <w:marBottom w:val="0"/>
          <w:divBdr>
            <w:top w:val="none" w:sz="0" w:space="0" w:color="auto"/>
            <w:left w:val="none" w:sz="0" w:space="0" w:color="auto"/>
            <w:bottom w:val="none" w:sz="0" w:space="0" w:color="auto"/>
            <w:right w:val="none" w:sz="0" w:space="0" w:color="auto"/>
          </w:divBdr>
        </w:div>
        <w:div w:id="41487375">
          <w:marLeft w:val="0"/>
          <w:marRight w:val="0"/>
          <w:marTop w:val="0"/>
          <w:marBottom w:val="0"/>
          <w:divBdr>
            <w:top w:val="none" w:sz="0" w:space="0" w:color="auto"/>
            <w:left w:val="none" w:sz="0" w:space="0" w:color="auto"/>
            <w:bottom w:val="none" w:sz="0" w:space="0" w:color="auto"/>
            <w:right w:val="none" w:sz="0" w:space="0" w:color="auto"/>
          </w:divBdr>
        </w:div>
        <w:div w:id="90974463">
          <w:marLeft w:val="0"/>
          <w:marRight w:val="0"/>
          <w:marTop w:val="0"/>
          <w:marBottom w:val="0"/>
          <w:divBdr>
            <w:top w:val="none" w:sz="0" w:space="0" w:color="auto"/>
            <w:left w:val="none" w:sz="0" w:space="0" w:color="auto"/>
            <w:bottom w:val="none" w:sz="0" w:space="0" w:color="auto"/>
            <w:right w:val="none" w:sz="0" w:space="0" w:color="auto"/>
          </w:divBdr>
        </w:div>
        <w:div w:id="140272975">
          <w:marLeft w:val="0"/>
          <w:marRight w:val="0"/>
          <w:marTop w:val="0"/>
          <w:marBottom w:val="0"/>
          <w:divBdr>
            <w:top w:val="none" w:sz="0" w:space="0" w:color="auto"/>
            <w:left w:val="none" w:sz="0" w:space="0" w:color="auto"/>
            <w:bottom w:val="none" w:sz="0" w:space="0" w:color="auto"/>
            <w:right w:val="none" w:sz="0" w:space="0" w:color="auto"/>
          </w:divBdr>
        </w:div>
        <w:div w:id="166291234">
          <w:marLeft w:val="0"/>
          <w:marRight w:val="0"/>
          <w:marTop w:val="0"/>
          <w:marBottom w:val="0"/>
          <w:divBdr>
            <w:top w:val="none" w:sz="0" w:space="0" w:color="auto"/>
            <w:left w:val="none" w:sz="0" w:space="0" w:color="auto"/>
            <w:bottom w:val="none" w:sz="0" w:space="0" w:color="auto"/>
            <w:right w:val="none" w:sz="0" w:space="0" w:color="auto"/>
          </w:divBdr>
        </w:div>
        <w:div w:id="188109337">
          <w:marLeft w:val="0"/>
          <w:marRight w:val="0"/>
          <w:marTop w:val="0"/>
          <w:marBottom w:val="0"/>
          <w:divBdr>
            <w:top w:val="none" w:sz="0" w:space="0" w:color="auto"/>
            <w:left w:val="none" w:sz="0" w:space="0" w:color="auto"/>
            <w:bottom w:val="none" w:sz="0" w:space="0" w:color="auto"/>
            <w:right w:val="none" w:sz="0" w:space="0" w:color="auto"/>
          </w:divBdr>
        </w:div>
        <w:div w:id="200362595">
          <w:marLeft w:val="0"/>
          <w:marRight w:val="0"/>
          <w:marTop w:val="0"/>
          <w:marBottom w:val="0"/>
          <w:divBdr>
            <w:top w:val="none" w:sz="0" w:space="0" w:color="auto"/>
            <w:left w:val="none" w:sz="0" w:space="0" w:color="auto"/>
            <w:bottom w:val="none" w:sz="0" w:space="0" w:color="auto"/>
            <w:right w:val="none" w:sz="0" w:space="0" w:color="auto"/>
          </w:divBdr>
        </w:div>
        <w:div w:id="205919776">
          <w:marLeft w:val="0"/>
          <w:marRight w:val="0"/>
          <w:marTop w:val="0"/>
          <w:marBottom w:val="0"/>
          <w:divBdr>
            <w:top w:val="none" w:sz="0" w:space="0" w:color="auto"/>
            <w:left w:val="none" w:sz="0" w:space="0" w:color="auto"/>
            <w:bottom w:val="none" w:sz="0" w:space="0" w:color="auto"/>
            <w:right w:val="none" w:sz="0" w:space="0" w:color="auto"/>
          </w:divBdr>
        </w:div>
        <w:div w:id="240794520">
          <w:marLeft w:val="0"/>
          <w:marRight w:val="0"/>
          <w:marTop w:val="0"/>
          <w:marBottom w:val="0"/>
          <w:divBdr>
            <w:top w:val="none" w:sz="0" w:space="0" w:color="auto"/>
            <w:left w:val="none" w:sz="0" w:space="0" w:color="auto"/>
            <w:bottom w:val="none" w:sz="0" w:space="0" w:color="auto"/>
            <w:right w:val="none" w:sz="0" w:space="0" w:color="auto"/>
          </w:divBdr>
        </w:div>
        <w:div w:id="268506989">
          <w:marLeft w:val="0"/>
          <w:marRight w:val="0"/>
          <w:marTop w:val="0"/>
          <w:marBottom w:val="0"/>
          <w:divBdr>
            <w:top w:val="none" w:sz="0" w:space="0" w:color="auto"/>
            <w:left w:val="none" w:sz="0" w:space="0" w:color="auto"/>
            <w:bottom w:val="none" w:sz="0" w:space="0" w:color="auto"/>
            <w:right w:val="none" w:sz="0" w:space="0" w:color="auto"/>
          </w:divBdr>
        </w:div>
        <w:div w:id="284772389">
          <w:marLeft w:val="0"/>
          <w:marRight w:val="0"/>
          <w:marTop w:val="0"/>
          <w:marBottom w:val="0"/>
          <w:divBdr>
            <w:top w:val="none" w:sz="0" w:space="0" w:color="auto"/>
            <w:left w:val="none" w:sz="0" w:space="0" w:color="auto"/>
            <w:bottom w:val="none" w:sz="0" w:space="0" w:color="auto"/>
            <w:right w:val="none" w:sz="0" w:space="0" w:color="auto"/>
          </w:divBdr>
        </w:div>
        <w:div w:id="320694279">
          <w:marLeft w:val="0"/>
          <w:marRight w:val="0"/>
          <w:marTop w:val="0"/>
          <w:marBottom w:val="0"/>
          <w:divBdr>
            <w:top w:val="none" w:sz="0" w:space="0" w:color="auto"/>
            <w:left w:val="none" w:sz="0" w:space="0" w:color="auto"/>
            <w:bottom w:val="none" w:sz="0" w:space="0" w:color="auto"/>
            <w:right w:val="none" w:sz="0" w:space="0" w:color="auto"/>
          </w:divBdr>
        </w:div>
        <w:div w:id="336033308">
          <w:marLeft w:val="0"/>
          <w:marRight w:val="0"/>
          <w:marTop w:val="0"/>
          <w:marBottom w:val="0"/>
          <w:divBdr>
            <w:top w:val="none" w:sz="0" w:space="0" w:color="auto"/>
            <w:left w:val="none" w:sz="0" w:space="0" w:color="auto"/>
            <w:bottom w:val="none" w:sz="0" w:space="0" w:color="auto"/>
            <w:right w:val="none" w:sz="0" w:space="0" w:color="auto"/>
          </w:divBdr>
        </w:div>
        <w:div w:id="343628876">
          <w:marLeft w:val="0"/>
          <w:marRight w:val="0"/>
          <w:marTop w:val="0"/>
          <w:marBottom w:val="0"/>
          <w:divBdr>
            <w:top w:val="none" w:sz="0" w:space="0" w:color="auto"/>
            <w:left w:val="none" w:sz="0" w:space="0" w:color="auto"/>
            <w:bottom w:val="none" w:sz="0" w:space="0" w:color="auto"/>
            <w:right w:val="none" w:sz="0" w:space="0" w:color="auto"/>
          </w:divBdr>
        </w:div>
        <w:div w:id="395982005">
          <w:marLeft w:val="0"/>
          <w:marRight w:val="0"/>
          <w:marTop w:val="0"/>
          <w:marBottom w:val="0"/>
          <w:divBdr>
            <w:top w:val="none" w:sz="0" w:space="0" w:color="auto"/>
            <w:left w:val="none" w:sz="0" w:space="0" w:color="auto"/>
            <w:bottom w:val="none" w:sz="0" w:space="0" w:color="auto"/>
            <w:right w:val="none" w:sz="0" w:space="0" w:color="auto"/>
          </w:divBdr>
        </w:div>
        <w:div w:id="398407429">
          <w:marLeft w:val="0"/>
          <w:marRight w:val="0"/>
          <w:marTop w:val="0"/>
          <w:marBottom w:val="0"/>
          <w:divBdr>
            <w:top w:val="none" w:sz="0" w:space="0" w:color="auto"/>
            <w:left w:val="none" w:sz="0" w:space="0" w:color="auto"/>
            <w:bottom w:val="none" w:sz="0" w:space="0" w:color="auto"/>
            <w:right w:val="none" w:sz="0" w:space="0" w:color="auto"/>
          </w:divBdr>
        </w:div>
        <w:div w:id="415833277">
          <w:marLeft w:val="0"/>
          <w:marRight w:val="0"/>
          <w:marTop w:val="0"/>
          <w:marBottom w:val="0"/>
          <w:divBdr>
            <w:top w:val="none" w:sz="0" w:space="0" w:color="auto"/>
            <w:left w:val="none" w:sz="0" w:space="0" w:color="auto"/>
            <w:bottom w:val="none" w:sz="0" w:space="0" w:color="auto"/>
            <w:right w:val="none" w:sz="0" w:space="0" w:color="auto"/>
          </w:divBdr>
        </w:div>
        <w:div w:id="454519655">
          <w:marLeft w:val="0"/>
          <w:marRight w:val="0"/>
          <w:marTop w:val="0"/>
          <w:marBottom w:val="0"/>
          <w:divBdr>
            <w:top w:val="none" w:sz="0" w:space="0" w:color="auto"/>
            <w:left w:val="none" w:sz="0" w:space="0" w:color="auto"/>
            <w:bottom w:val="none" w:sz="0" w:space="0" w:color="auto"/>
            <w:right w:val="none" w:sz="0" w:space="0" w:color="auto"/>
          </w:divBdr>
        </w:div>
        <w:div w:id="479659297">
          <w:marLeft w:val="0"/>
          <w:marRight w:val="0"/>
          <w:marTop w:val="0"/>
          <w:marBottom w:val="0"/>
          <w:divBdr>
            <w:top w:val="none" w:sz="0" w:space="0" w:color="auto"/>
            <w:left w:val="none" w:sz="0" w:space="0" w:color="auto"/>
            <w:bottom w:val="none" w:sz="0" w:space="0" w:color="auto"/>
            <w:right w:val="none" w:sz="0" w:space="0" w:color="auto"/>
          </w:divBdr>
        </w:div>
        <w:div w:id="485975728">
          <w:marLeft w:val="0"/>
          <w:marRight w:val="0"/>
          <w:marTop w:val="0"/>
          <w:marBottom w:val="0"/>
          <w:divBdr>
            <w:top w:val="none" w:sz="0" w:space="0" w:color="auto"/>
            <w:left w:val="none" w:sz="0" w:space="0" w:color="auto"/>
            <w:bottom w:val="none" w:sz="0" w:space="0" w:color="auto"/>
            <w:right w:val="none" w:sz="0" w:space="0" w:color="auto"/>
          </w:divBdr>
        </w:div>
        <w:div w:id="489176421">
          <w:marLeft w:val="0"/>
          <w:marRight w:val="0"/>
          <w:marTop w:val="0"/>
          <w:marBottom w:val="0"/>
          <w:divBdr>
            <w:top w:val="none" w:sz="0" w:space="0" w:color="auto"/>
            <w:left w:val="none" w:sz="0" w:space="0" w:color="auto"/>
            <w:bottom w:val="none" w:sz="0" w:space="0" w:color="auto"/>
            <w:right w:val="none" w:sz="0" w:space="0" w:color="auto"/>
          </w:divBdr>
        </w:div>
        <w:div w:id="489448634">
          <w:marLeft w:val="0"/>
          <w:marRight w:val="0"/>
          <w:marTop w:val="0"/>
          <w:marBottom w:val="0"/>
          <w:divBdr>
            <w:top w:val="none" w:sz="0" w:space="0" w:color="auto"/>
            <w:left w:val="none" w:sz="0" w:space="0" w:color="auto"/>
            <w:bottom w:val="none" w:sz="0" w:space="0" w:color="auto"/>
            <w:right w:val="none" w:sz="0" w:space="0" w:color="auto"/>
          </w:divBdr>
        </w:div>
        <w:div w:id="508830370">
          <w:marLeft w:val="0"/>
          <w:marRight w:val="0"/>
          <w:marTop w:val="0"/>
          <w:marBottom w:val="0"/>
          <w:divBdr>
            <w:top w:val="none" w:sz="0" w:space="0" w:color="auto"/>
            <w:left w:val="none" w:sz="0" w:space="0" w:color="auto"/>
            <w:bottom w:val="none" w:sz="0" w:space="0" w:color="auto"/>
            <w:right w:val="none" w:sz="0" w:space="0" w:color="auto"/>
          </w:divBdr>
        </w:div>
        <w:div w:id="522478098">
          <w:marLeft w:val="0"/>
          <w:marRight w:val="0"/>
          <w:marTop w:val="0"/>
          <w:marBottom w:val="0"/>
          <w:divBdr>
            <w:top w:val="none" w:sz="0" w:space="0" w:color="auto"/>
            <w:left w:val="none" w:sz="0" w:space="0" w:color="auto"/>
            <w:bottom w:val="none" w:sz="0" w:space="0" w:color="auto"/>
            <w:right w:val="none" w:sz="0" w:space="0" w:color="auto"/>
          </w:divBdr>
        </w:div>
        <w:div w:id="525949318">
          <w:marLeft w:val="0"/>
          <w:marRight w:val="0"/>
          <w:marTop w:val="0"/>
          <w:marBottom w:val="0"/>
          <w:divBdr>
            <w:top w:val="none" w:sz="0" w:space="0" w:color="auto"/>
            <w:left w:val="none" w:sz="0" w:space="0" w:color="auto"/>
            <w:bottom w:val="none" w:sz="0" w:space="0" w:color="auto"/>
            <w:right w:val="none" w:sz="0" w:space="0" w:color="auto"/>
          </w:divBdr>
        </w:div>
        <w:div w:id="534315355">
          <w:marLeft w:val="0"/>
          <w:marRight w:val="0"/>
          <w:marTop w:val="0"/>
          <w:marBottom w:val="0"/>
          <w:divBdr>
            <w:top w:val="none" w:sz="0" w:space="0" w:color="auto"/>
            <w:left w:val="none" w:sz="0" w:space="0" w:color="auto"/>
            <w:bottom w:val="none" w:sz="0" w:space="0" w:color="auto"/>
            <w:right w:val="none" w:sz="0" w:space="0" w:color="auto"/>
          </w:divBdr>
        </w:div>
        <w:div w:id="551230458">
          <w:marLeft w:val="0"/>
          <w:marRight w:val="0"/>
          <w:marTop w:val="0"/>
          <w:marBottom w:val="0"/>
          <w:divBdr>
            <w:top w:val="none" w:sz="0" w:space="0" w:color="auto"/>
            <w:left w:val="none" w:sz="0" w:space="0" w:color="auto"/>
            <w:bottom w:val="none" w:sz="0" w:space="0" w:color="auto"/>
            <w:right w:val="none" w:sz="0" w:space="0" w:color="auto"/>
          </w:divBdr>
        </w:div>
        <w:div w:id="553388669">
          <w:marLeft w:val="0"/>
          <w:marRight w:val="0"/>
          <w:marTop w:val="0"/>
          <w:marBottom w:val="0"/>
          <w:divBdr>
            <w:top w:val="none" w:sz="0" w:space="0" w:color="auto"/>
            <w:left w:val="none" w:sz="0" w:space="0" w:color="auto"/>
            <w:bottom w:val="none" w:sz="0" w:space="0" w:color="auto"/>
            <w:right w:val="none" w:sz="0" w:space="0" w:color="auto"/>
          </w:divBdr>
        </w:div>
        <w:div w:id="556356752">
          <w:marLeft w:val="0"/>
          <w:marRight w:val="0"/>
          <w:marTop w:val="0"/>
          <w:marBottom w:val="0"/>
          <w:divBdr>
            <w:top w:val="none" w:sz="0" w:space="0" w:color="auto"/>
            <w:left w:val="none" w:sz="0" w:space="0" w:color="auto"/>
            <w:bottom w:val="none" w:sz="0" w:space="0" w:color="auto"/>
            <w:right w:val="none" w:sz="0" w:space="0" w:color="auto"/>
          </w:divBdr>
        </w:div>
        <w:div w:id="561451297">
          <w:marLeft w:val="0"/>
          <w:marRight w:val="0"/>
          <w:marTop w:val="0"/>
          <w:marBottom w:val="0"/>
          <w:divBdr>
            <w:top w:val="none" w:sz="0" w:space="0" w:color="auto"/>
            <w:left w:val="none" w:sz="0" w:space="0" w:color="auto"/>
            <w:bottom w:val="none" w:sz="0" w:space="0" w:color="auto"/>
            <w:right w:val="none" w:sz="0" w:space="0" w:color="auto"/>
          </w:divBdr>
        </w:div>
        <w:div w:id="579215858">
          <w:marLeft w:val="0"/>
          <w:marRight w:val="0"/>
          <w:marTop w:val="0"/>
          <w:marBottom w:val="0"/>
          <w:divBdr>
            <w:top w:val="none" w:sz="0" w:space="0" w:color="auto"/>
            <w:left w:val="none" w:sz="0" w:space="0" w:color="auto"/>
            <w:bottom w:val="none" w:sz="0" w:space="0" w:color="auto"/>
            <w:right w:val="none" w:sz="0" w:space="0" w:color="auto"/>
          </w:divBdr>
        </w:div>
        <w:div w:id="581330169">
          <w:marLeft w:val="0"/>
          <w:marRight w:val="0"/>
          <w:marTop w:val="0"/>
          <w:marBottom w:val="0"/>
          <w:divBdr>
            <w:top w:val="none" w:sz="0" w:space="0" w:color="auto"/>
            <w:left w:val="none" w:sz="0" w:space="0" w:color="auto"/>
            <w:bottom w:val="none" w:sz="0" w:space="0" w:color="auto"/>
            <w:right w:val="none" w:sz="0" w:space="0" w:color="auto"/>
          </w:divBdr>
        </w:div>
        <w:div w:id="583805602">
          <w:marLeft w:val="0"/>
          <w:marRight w:val="0"/>
          <w:marTop w:val="0"/>
          <w:marBottom w:val="0"/>
          <w:divBdr>
            <w:top w:val="none" w:sz="0" w:space="0" w:color="auto"/>
            <w:left w:val="none" w:sz="0" w:space="0" w:color="auto"/>
            <w:bottom w:val="none" w:sz="0" w:space="0" w:color="auto"/>
            <w:right w:val="none" w:sz="0" w:space="0" w:color="auto"/>
          </w:divBdr>
        </w:div>
        <w:div w:id="619993319">
          <w:marLeft w:val="0"/>
          <w:marRight w:val="0"/>
          <w:marTop w:val="0"/>
          <w:marBottom w:val="0"/>
          <w:divBdr>
            <w:top w:val="none" w:sz="0" w:space="0" w:color="auto"/>
            <w:left w:val="none" w:sz="0" w:space="0" w:color="auto"/>
            <w:bottom w:val="none" w:sz="0" w:space="0" w:color="auto"/>
            <w:right w:val="none" w:sz="0" w:space="0" w:color="auto"/>
          </w:divBdr>
        </w:div>
        <w:div w:id="635063121">
          <w:marLeft w:val="0"/>
          <w:marRight w:val="0"/>
          <w:marTop w:val="0"/>
          <w:marBottom w:val="0"/>
          <w:divBdr>
            <w:top w:val="none" w:sz="0" w:space="0" w:color="auto"/>
            <w:left w:val="none" w:sz="0" w:space="0" w:color="auto"/>
            <w:bottom w:val="none" w:sz="0" w:space="0" w:color="auto"/>
            <w:right w:val="none" w:sz="0" w:space="0" w:color="auto"/>
          </w:divBdr>
        </w:div>
        <w:div w:id="648021360">
          <w:marLeft w:val="0"/>
          <w:marRight w:val="0"/>
          <w:marTop w:val="0"/>
          <w:marBottom w:val="0"/>
          <w:divBdr>
            <w:top w:val="none" w:sz="0" w:space="0" w:color="auto"/>
            <w:left w:val="none" w:sz="0" w:space="0" w:color="auto"/>
            <w:bottom w:val="none" w:sz="0" w:space="0" w:color="auto"/>
            <w:right w:val="none" w:sz="0" w:space="0" w:color="auto"/>
          </w:divBdr>
        </w:div>
        <w:div w:id="681469549">
          <w:marLeft w:val="0"/>
          <w:marRight w:val="0"/>
          <w:marTop w:val="0"/>
          <w:marBottom w:val="0"/>
          <w:divBdr>
            <w:top w:val="none" w:sz="0" w:space="0" w:color="auto"/>
            <w:left w:val="none" w:sz="0" w:space="0" w:color="auto"/>
            <w:bottom w:val="none" w:sz="0" w:space="0" w:color="auto"/>
            <w:right w:val="none" w:sz="0" w:space="0" w:color="auto"/>
          </w:divBdr>
        </w:div>
        <w:div w:id="690228880">
          <w:marLeft w:val="0"/>
          <w:marRight w:val="0"/>
          <w:marTop w:val="0"/>
          <w:marBottom w:val="0"/>
          <w:divBdr>
            <w:top w:val="none" w:sz="0" w:space="0" w:color="auto"/>
            <w:left w:val="none" w:sz="0" w:space="0" w:color="auto"/>
            <w:bottom w:val="none" w:sz="0" w:space="0" w:color="auto"/>
            <w:right w:val="none" w:sz="0" w:space="0" w:color="auto"/>
          </w:divBdr>
        </w:div>
        <w:div w:id="723411010">
          <w:marLeft w:val="0"/>
          <w:marRight w:val="0"/>
          <w:marTop w:val="0"/>
          <w:marBottom w:val="0"/>
          <w:divBdr>
            <w:top w:val="none" w:sz="0" w:space="0" w:color="auto"/>
            <w:left w:val="none" w:sz="0" w:space="0" w:color="auto"/>
            <w:bottom w:val="none" w:sz="0" w:space="0" w:color="auto"/>
            <w:right w:val="none" w:sz="0" w:space="0" w:color="auto"/>
          </w:divBdr>
        </w:div>
        <w:div w:id="724135312">
          <w:marLeft w:val="0"/>
          <w:marRight w:val="0"/>
          <w:marTop w:val="0"/>
          <w:marBottom w:val="0"/>
          <w:divBdr>
            <w:top w:val="none" w:sz="0" w:space="0" w:color="auto"/>
            <w:left w:val="none" w:sz="0" w:space="0" w:color="auto"/>
            <w:bottom w:val="none" w:sz="0" w:space="0" w:color="auto"/>
            <w:right w:val="none" w:sz="0" w:space="0" w:color="auto"/>
          </w:divBdr>
        </w:div>
        <w:div w:id="735934871">
          <w:marLeft w:val="0"/>
          <w:marRight w:val="0"/>
          <w:marTop w:val="0"/>
          <w:marBottom w:val="0"/>
          <w:divBdr>
            <w:top w:val="none" w:sz="0" w:space="0" w:color="auto"/>
            <w:left w:val="none" w:sz="0" w:space="0" w:color="auto"/>
            <w:bottom w:val="none" w:sz="0" w:space="0" w:color="auto"/>
            <w:right w:val="none" w:sz="0" w:space="0" w:color="auto"/>
          </w:divBdr>
        </w:div>
        <w:div w:id="736587065">
          <w:marLeft w:val="0"/>
          <w:marRight w:val="0"/>
          <w:marTop w:val="0"/>
          <w:marBottom w:val="0"/>
          <w:divBdr>
            <w:top w:val="none" w:sz="0" w:space="0" w:color="auto"/>
            <w:left w:val="none" w:sz="0" w:space="0" w:color="auto"/>
            <w:bottom w:val="none" w:sz="0" w:space="0" w:color="auto"/>
            <w:right w:val="none" w:sz="0" w:space="0" w:color="auto"/>
          </w:divBdr>
        </w:div>
        <w:div w:id="744495138">
          <w:marLeft w:val="0"/>
          <w:marRight w:val="0"/>
          <w:marTop w:val="0"/>
          <w:marBottom w:val="0"/>
          <w:divBdr>
            <w:top w:val="none" w:sz="0" w:space="0" w:color="auto"/>
            <w:left w:val="none" w:sz="0" w:space="0" w:color="auto"/>
            <w:bottom w:val="none" w:sz="0" w:space="0" w:color="auto"/>
            <w:right w:val="none" w:sz="0" w:space="0" w:color="auto"/>
          </w:divBdr>
        </w:div>
        <w:div w:id="813565406">
          <w:marLeft w:val="0"/>
          <w:marRight w:val="0"/>
          <w:marTop w:val="0"/>
          <w:marBottom w:val="0"/>
          <w:divBdr>
            <w:top w:val="none" w:sz="0" w:space="0" w:color="auto"/>
            <w:left w:val="none" w:sz="0" w:space="0" w:color="auto"/>
            <w:bottom w:val="none" w:sz="0" w:space="0" w:color="auto"/>
            <w:right w:val="none" w:sz="0" w:space="0" w:color="auto"/>
          </w:divBdr>
        </w:div>
        <w:div w:id="814416855">
          <w:marLeft w:val="0"/>
          <w:marRight w:val="0"/>
          <w:marTop w:val="0"/>
          <w:marBottom w:val="0"/>
          <w:divBdr>
            <w:top w:val="none" w:sz="0" w:space="0" w:color="auto"/>
            <w:left w:val="none" w:sz="0" w:space="0" w:color="auto"/>
            <w:bottom w:val="none" w:sz="0" w:space="0" w:color="auto"/>
            <w:right w:val="none" w:sz="0" w:space="0" w:color="auto"/>
          </w:divBdr>
        </w:div>
        <w:div w:id="816143376">
          <w:marLeft w:val="0"/>
          <w:marRight w:val="0"/>
          <w:marTop w:val="0"/>
          <w:marBottom w:val="0"/>
          <w:divBdr>
            <w:top w:val="none" w:sz="0" w:space="0" w:color="auto"/>
            <w:left w:val="none" w:sz="0" w:space="0" w:color="auto"/>
            <w:bottom w:val="none" w:sz="0" w:space="0" w:color="auto"/>
            <w:right w:val="none" w:sz="0" w:space="0" w:color="auto"/>
          </w:divBdr>
        </w:div>
        <w:div w:id="919365359">
          <w:marLeft w:val="0"/>
          <w:marRight w:val="0"/>
          <w:marTop w:val="0"/>
          <w:marBottom w:val="0"/>
          <w:divBdr>
            <w:top w:val="none" w:sz="0" w:space="0" w:color="auto"/>
            <w:left w:val="none" w:sz="0" w:space="0" w:color="auto"/>
            <w:bottom w:val="none" w:sz="0" w:space="0" w:color="auto"/>
            <w:right w:val="none" w:sz="0" w:space="0" w:color="auto"/>
          </w:divBdr>
        </w:div>
        <w:div w:id="921140151">
          <w:marLeft w:val="0"/>
          <w:marRight w:val="0"/>
          <w:marTop w:val="0"/>
          <w:marBottom w:val="0"/>
          <w:divBdr>
            <w:top w:val="none" w:sz="0" w:space="0" w:color="auto"/>
            <w:left w:val="none" w:sz="0" w:space="0" w:color="auto"/>
            <w:bottom w:val="none" w:sz="0" w:space="0" w:color="auto"/>
            <w:right w:val="none" w:sz="0" w:space="0" w:color="auto"/>
          </w:divBdr>
        </w:div>
        <w:div w:id="954219025">
          <w:marLeft w:val="0"/>
          <w:marRight w:val="0"/>
          <w:marTop w:val="0"/>
          <w:marBottom w:val="0"/>
          <w:divBdr>
            <w:top w:val="none" w:sz="0" w:space="0" w:color="auto"/>
            <w:left w:val="none" w:sz="0" w:space="0" w:color="auto"/>
            <w:bottom w:val="none" w:sz="0" w:space="0" w:color="auto"/>
            <w:right w:val="none" w:sz="0" w:space="0" w:color="auto"/>
          </w:divBdr>
        </w:div>
        <w:div w:id="984776600">
          <w:marLeft w:val="0"/>
          <w:marRight w:val="0"/>
          <w:marTop w:val="0"/>
          <w:marBottom w:val="0"/>
          <w:divBdr>
            <w:top w:val="none" w:sz="0" w:space="0" w:color="auto"/>
            <w:left w:val="none" w:sz="0" w:space="0" w:color="auto"/>
            <w:bottom w:val="none" w:sz="0" w:space="0" w:color="auto"/>
            <w:right w:val="none" w:sz="0" w:space="0" w:color="auto"/>
          </w:divBdr>
        </w:div>
        <w:div w:id="993335082">
          <w:marLeft w:val="0"/>
          <w:marRight w:val="0"/>
          <w:marTop w:val="0"/>
          <w:marBottom w:val="0"/>
          <w:divBdr>
            <w:top w:val="none" w:sz="0" w:space="0" w:color="auto"/>
            <w:left w:val="none" w:sz="0" w:space="0" w:color="auto"/>
            <w:bottom w:val="none" w:sz="0" w:space="0" w:color="auto"/>
            <w:right w:val="none" w:sz="0" w:space="0" w:color="auto"/>
          </w:divBdr>
        </w:div>
        <w:div w:id="996423410">
          <w:marLeft w:val="0"/>
          <w:marRight w:val="0"/>
          <w:marTop w:val="0"/>
          <w:marBottom w:val="0"/>
          <w:divBdr>
            <w:top w:val="none" w:sz="0" w:space="0" w:color="auto"/>
            <w:left w:val="none" w:sz="0" w:space="0" w:color="auto"/>
            <w:bottom w:val="none" w:sz="0" w:space="0" w:color="auto"/>
            <w:right w:val="none" w:sz="0" w:space="0" w:color="auto"/>
          </w:divBdr>
        </w:div>
        <w:div w:id="1043411003">
          <w:marLeft w:val="0"/>
          <w:marRight w:val="0"/>
          <w:marTop w:val="0"/>
          <w:marBottom w:val="0"/>
          <w:divBdr>
            <w:top w:val="none" w:sz="0" w:space="0" w:color="auto"/>
            <w:left w:val="none" w:sz="0" w:space="0" w:color="auto"/>
            <w:bottom w:val="none" w:sz="0" w:space="0" w:color="auto"/>
            <w:right w:val="none" w:sz="0" w:space="0" w:color="auto"/>
          </w:divBdr>
        </w:div>
        <w:div w:id="1089346606">
          <w:marLeft w:val="0"/>
          <w:marRight w:val="0"/>
          <w:marTop w:val="0"/>
          <w:marBottom w:val="0"/>
          <w:divBdr>
            <w:top w:val="none" w:sz="0" w:space="0" w:color="auto"/>
            <w:left w:val="none" w:sz="0" w:space="0" w:color="auto"/>
            <w:bottom w:val="none" w:sz="0" w:space="0" w:color="auto"/>
            <w:right w:val="none" w:sz="0" w:space="0" w:color="auto"/>
          </w:divBdr>
        </w:div>
        <w:div w:id="1114398114">
          <w:marLeft w:val="0"/>
          <w:marRight w:val="0"/>
          <w:marTop w:val="0"/>
          <w:marBottom w:val="0"/>
          <w:divBdr>
            <w:top w:val="none" w:sz="0" w:space="0" w:color="auto"/>
            <w:left w:val="none" w:sz="0" w:space="0" w:color="auto"/>
            <w:bottom w:val="none" w:sz="0" w:space="0" w:color="auto"/>
            <w:right w:val="none" w:sz="0" w:space="0" w:color="auto"/>
          </w:divBdr>
        </w:div>
        <w:div w:id="1119376148">
          <w:marLeft w:val="0"/>
          <w:marRight w:val="0"/>
          <w:marTop w:val="0"/>
          <w:marBottom w:val="0"/>
          <w:divBdr>
            <w:top w:val="none" w:sz="0" w:space="0" w:color="auto"/>
            <w:left w:val="none" w:sz="0" w:space="0" w:color="auto"/>
            <w:bottom w:val="none" w:sz="0" w:space="0" w:color="auto"/>
            <w:right w:val="none" w:sz="0" w:space="0" w:color="auto"/>
          </w:divBdr>
        </w:div>
        <w:div w:id="1150975565">
          <w:marLeft w:val="0"/>
          <w:marRight w:val="0"/>
          <w:marTop w:val="0"/>
          <w:marBottom w:val="0"/>
          <w:divBdr>
            <w:top w:val="none" w:sz="0" w:space="0" w:color="auto"/>
            <w:left w:val="none" w:sz="0" w:space="0" w:color="auto"/>
            <w:bottom w:val="none" w:sz="0" w:space="0" w:color="auto"/>
            <w:right w:val="none" w:sz="0" w:space="0" w:color="auto"/>
          </w:divBdr>
        </w:div>
        <w:div w:id="1151606076">
          <w:marLeft w:val="0"/>
          <w:marRight w:val="0"/>
          <w:marTop w:val="0"/>
          <w:marBottom w:val="0"/>
          <w:divBdr>
            <w:top w:val="none" w:sz="0" w:space="0" w:color="auto"/>
            <w:left w:val="none" w:sz="0" w:space="0" w:color="auto"/>
            <w:bottom w:val="none" w:sz="0" w:space="0" w:color="auto"/>
            <w:right w:val="none" w:sz="0" w:space="0" w:color="auto"/>
          </w:divBdr>
        </w:div>
        <w:div w:id="1155687063">
          <w:marLeft w:val="0"/>
          <w:marRight w:val="0"/>
          <w:marTop w:val="0"/>
          <w:marBottom w:val="0"/>
          <w:divBdr>
            <w:top w:val="none" w:sz="0" w:space="0" w:color="auto"/>
            <w:left w:val="none" w:sz="0" w:space="0" w:color="auto"/>
            <w:bottom w:val="none" w:sz="0" w:space="0" w:color="auto"/>
            <w:right w:val="none" w:sz="0" w:space="0" w:color="auto"/>
          </w:divBdr>
        </w:div>
        <w:div w:id="1165776578">
          <w:marLeft w:val="0"/>
          <w:marRight w:val="0"/>
          <w:marTop w:val="0"/>
          <w:marBottom w:val="0"/>
          <w:divBdr>
            <w:top w:val="none" w:sz="0" w:space="0" w:color="auto"/>
            <w:left w:val="none" w:sz="0" w:space="0" w:color="auto"/>
            <w:bottom w:val="none" w:sz="0" w:space="0" w:color="auto"/>
            <w:right w:val="none" w:sz="0" w:space="0" w:color="auto"/>
          </w:divBdr>
        </w:div>
        <w:div w:id="1189029168">
          <w:marLeft w:val="0"/>
          <w:marRight w:val="0"/>
          <w:marTop w:val="0"/>
          <w:marBottom w:val="0"/>
          <w:divBdr>
            <w:top w:val="none" w:sz="0" w:space="0" w:color="auto"/>
            <w:left w:val="none" w:sz="0" w:space="0" w:color="auto"/>
            <w:bottom w:val="none" w:sz="0" w:space="0" w:color="auto"/>
            <w:right w:val="none" w:sz="0" w:space="0" w:color="auto"/>
          </w:divBdr>
        </w:div>
        <w:div w:id="1207714356">
          <w:marLeft w:val="0"/>
          <w:marRight w:val="0"/>
          <w:marTop w:val="0"/>
          <w:marBottom w:val="0"/>
          <w:divBdr>
            <w:top w:val="none" w:sz="0" w:space="0" w:color="auto"/>
            <w:left w:val="none" w:sz="0" w:space="0" w:color="auto"/>
            <w:bottom w:val="none" w:sz="0" w:space="0" w:color="auto"/>
            <w:right w:val="none" w:sz="0" w:space="0" w:color="auto"/>
          </w:divBdr>
        </w:div>
        <w:div w:id="1222212381">
          <w:marLeft w:val="0"/>
          <w:marRight w:val="0"/>
          <w:marTop w:val="0"/>
          <w:marBottom w:val="0"/>
          <w:divBdr>
            <w:top w:val="none" w:sz="0" w:space="0" w:color="auto"/>
            <w:left w:val="none" w:sz="0" w:space="0" w:color="auto"/>
            <w:bottom w:val="none" w:sz="0" w:space="0" w:color="auto"/>
            <w:right w:val="none" w:sz="0" w:space="0" w:color="auto"/>
          </w:divBdr>
        </w:div>
        <w:div w:id="1228882365">
          <w:marLeft w:val="0"/>
          <w:marRight w:val="0"/>
          <w:marTop w:val="0"/>
          <w:marBottom w:val="0"/>
          <w:divBdr>
            <w:top w:val="none" w:sz="0" w:space="0" w:color="auto"/>
            <w:left w:val="none" w:sz="0" w:space="0" w:color="auto"/>
            <w:bottom w:val="none" w:sz="0" w:space="0" w:color="auto"/>
            <w:right w:val="none" w:sz="0" w:space="0" w:color="auto"/>
          </w:divBdr>
        </w:div>
        <w:div w:id="1242568341">
          <w:marLeft w:val="0"/>
          <w:marRight w:val="0"/>
          <w:marTop w:val="0"/>
          <w:marBottom w:val="0"/>
          <w:divBdr>
            <w:top w:val="none" w:sz="0" w:space="0" w:color="auto"/>
            <w:left w:val="none" w:sz="0" w:space="0" w:color="auto"/>
            <w:bottom w:val="none" w:sz="0" w:space="0" w:color="auto"/>
            <w:right w:val="none" w:sz="0" w:space="0" w:color="auto"/>
          </w:divBdr>
        </w:div>
        <w:div w:id="1295256575">
          <w:marLeft w:val="0"/>
          <w:marRight w:val="0"/>
          <w:marTop w:val="0"/>
          <w:marBottom w:val="0"/>
          <w:divBdr>
            <w:top w:val="none" w:sz="0" w:space="0" w:color="auto"/>
            <w:left w:val="none" w:sz="0" w:space="0" w:color="auto"/>
            <w:bottom w:val="none" w:sz="0" w:space="0" w:color="auto"/>
            <w:right w:val="none" w:sz="0" w:space="0" w:color="auto"/>
          </w:divBdr>
        </w:div>
        <w:div w:id="1298100084">
          <w:marLeft w:val="0"/>
          <w:marRight w:val="0"/>
          <w:marTop w:val="0"/>
          <w:marBottom w:val="0"/>
          <w:divBdr>
            <w:top w:val="none" w:sz="0" w:space="0" w:color="auto"/>
            <w:left w:val="none" w:sz="0" w:space="0" w:color="auto"/>
            <w:bottom w:val="none" w:sz="0" w:space="0" w:color="auto"/>
            <w:right w:val="none" w:sz="0" w:space="0" w:color="auto"/>
          </w:divBdr>
        </w:div>
        <w:div w:id="1299527409">
          <w:marLeft w:val="0"/>
          <w:marRight w:val="0"/>
          <w:marTop w:val="0"/>
          <w:marBottom w:val="0"/>
          <w:divBdr>
            <w:top w:val="none" w:sz="0" w:space="0" w:color="auto"/>
            <w:left w:val="none" w:sz="0" w:space="0" w:color="auto"/>
            <w:bottom w:val="none" w:sz="0" w:space="0" w:color="auto"/>
            <w:right w:val="none" w:sz="0" w:space="0" w:color="auto"/>
          </w:divBdr>
        </w:div>
        <w:div w:id="1306081105">
          <w:marLeft w:val="0"/>
          <w:marRight w:val="0"/>
          <w:marTop w:val="0"/>
          <w:marBottom w:val="0"/>
          <w:divBdr>
            <w:top w:val="none" w:sz="0" w:space="0" w:color="auto"/>
            <w:left w:val="none" w:sz="0" w:space="0" w:color="auto"/>
            <w:bottom w:val="none" w:sz="0" w:space="0" w:color="auto"/>
            <w:right w:val="none" w:sz="0" w:space="0" w:color="auto"/>
          </w:divBdr>
        </w:div>
        <w:div w:id="1378318739">
          <w:marLeft w:val="0"/>
          <w:marRight w:val="0"/>
          <w:marTop w:val="0"/>
          <w:marBottom w:val="0"/>
          <w:divBdr>
            <w:top w:val="none" w:sz="0" w:space="0" w:color="auto"/>
            <w:left w:val="none" w:sz="0" w:space="0" w:color="auto"/>
            <w:bottom w:val="none" w:sz="0" w:space="0" w:color="auto"/>
            <w:right w:val="none" w:sz="0" w:space="0" w:color="auto"/>
          </w:divBdr>
        </w:div>
        <w:div w:id="1415201963">
          <w:marLeft w:val="0"/>
          <w:marRight w:val="0"/>
          <w:marTop w:val="0"/>
          <w:marBottom w:val="0"/>
          <w:divBdr>
            <w:top w:val="none" w:sz="0" w:space="0" w:color="auto"/>
            <w:left w:val="none" w:sz="0" w:space="0" w:color="auto"/>
            <w:bottom w:val="none" w:sz="0" w:space="0" w:color="auto"/>
            <w:right w:val="none" w:sz="0" w:space="0" w:color="auto"/>
          </w:divBdr>
        </w:div>
        <w:div w:id="1421103891">
          <w:marLeft w:val="0"/>
          <w:marRight w:val="0"/>
          <w:marTop w:val="0"/>
          <w:marBottom w:val="0"/>
          <w:divBdr>
            <w:top w:val="none" w:sz="0" w:space="0" w:color="auto"/>
            <w:left w:val="none" w:sz="0" w:space="0" w:color="auto"/>
            <w:bottom w:val="none" w:sz="0" w:space="0" w:color="auto"/>
            <w:right w:val="none" w:sz="0" w:space="0" w:color="auto"/>
          </w:divBdr>
        </w:div>
        <w:div w:id="1433041136">
          <w:marLeft w:val="0"/>
          <w:marRight w:val="0"/>
          <w:marTop w:val="0"/>
          <w:marBottom w:val="0"/>
          <w:divBdr>
            <w:top w:val="none" w:sz="0" w:space="0" w:color="auto"/>
            <w:left w:val="none" w:sz="0" w:space="0" w:color="auto"/>
            <w:bottom w:val="none" w:sz="0" w:space="0" w:color="auto"/>
            <w:right w:val="none" w:sz="0" w:space="0" w:color="auto"/>
          </w:divBdr>
        </w:div>
        <w:div w:id="1449158800">
          <w:marLeft w:val="0"/>
          <w:marRight w:val="0"/>
          <w:marTop w:val="0"/>
          <w:marBottom w:val="0"/>
          <w:divBdr>
            <w:top w:val="none" w:sz="0" w:space="0" w:color="auto"/>
            <w:left w:val="none" w:sz="0" w:space="0" w:color="auto"/>
            <w:bottom w:val="none" w:sz="0" w:space="0" w:color="auto"/>
            <w:right w:val="none" w:sz="0" w:space="0" w:color="auto"/>
          </w:divBdr>
        </w:div>
        <w:div w:id="1476484073">
          <w:marLeft w:val="0"/>
          <w:marRight w:val="0"/>
          <w:marTop w:val="0"/>
          <w:marBottom w:val="0"/>
          <w:divBdr>
            <w:top w:val="none" w:sz="0" w:space="0" w:color="auto"/>
            <w:left w:val="none" w:sz="0" w:space="0" w:color="auto"/>
            <w:bottom w:val="none" w:sz="0" w:space="0" w:color="auto"/>
            <w:right w:val="none" w:sz="0" w:space="0" w:color="auto"/>
          </w:divBdr>
        </w:div>
        <w:div w:id="1482112270">
          <w:marLeft w:val="0"/>
          <w:marRight w:val="0"/>
          <w:marTop w:val="0"/>
          <w:marBottom w:val="0"/>
          <w:divBdr>
            <w:top w:val="none" w:sz="0" w:space="0" w:color="auto"/>
            <w:left w:val="none" w:sz="0" w:space="0" w:color="auto"/>
            <w:bottom w:val="none" w:sz="0" w:space="0" w:color="auto"/>
            <w:right w:val="none" w:sz="0" w:space="0" w:color="auto"/>
          </w:divBdr>
        </w:div>
        <w:div w:id="1512530766">
          <w:marLeft w:val="0"/>
          <w:marRight w:val="0"/>
          <w:marTop w:val="0"/>
          <w:marBottom w:val="0"/>
          <w:divBdr>
            <w:top w:val="none" w:sz="0" w:space="0" w:color="auto"/>
            <w:left w:val="none" w:sz="0" w:space="0" w:color="auto"/>
            <w:bottom w:val="none" w:sz="0" w:space="0" w:color="auto"/>
            <w:right w:val="none" w:sz="0" w:space="0" w:color="auto"/>
          </w:divBdr>
        </w:div>
        <w:div w:id="1554777368">
          <w:marLeft w:val="0"/>
          <w:marRight w:val="0"/>
          <w:marTop w:val="0"/>
          <w:marBottom w:val="0"/>
          <w:divBdr>
            <w:top w:val="none" w:sz="0" w:space="0" w:color="auto"/>
            <w:left w:val="none" w:sz="0" w:space="0" w:color="auto"/>
            <w:bottom w:val="none" w:sz="0" w:space="0" w:color="auto"/>
            <w:right w:val="none" w:sz="0" w:space="0" w:color="auto"/>
          </w:divBdr>
        </w:div>
        <w:div w:id="1559585035">
          <w:marLeft w:val="0"/>
          <w:marRight w:val="0"/>
          <w:marTop w:val="0"/>
          <w:marBottom w:val="0"/>
          <w:divBdr>
            <w:top w:val="none" w:sz="0" w:space="0" w:color="auto"/>
            <w:left w:val="none" w:sz="0" w:space="0" w:color="auto"/>
            <w:bottom w:val="none" w:sz="0" w:space="0" w:color="auto"/>
            <w:right w:val="none" w:sz="0" w:space="0" w:color="auto"/>
          </w:divBdr>
        </w:div>
        <w:div w:id="1567955476">
          <w:marLeft w:val="0"/>
          <w:marRight w:val="0"/>
          <w:marTop w:val="0"/>
          <w:marBottom w:val="0"/>
          <w:divBdr>
            <w:top w:val="none" w:sz="0" w:space="0" w:color="auto"/>
            <w:left w:val="none" w:sz="0" w:space="0" w:color="auto"/>
            <w:bottom w:val="none" w:sz="0" w:space="0" w:color="auto"/>
            <w:right w:val="none" w:sz="0" w:space="0" w:color="auto"/>
          </w:divBdr>
        </w:div>
        <w:div w:id="1571429675">
          <w:marLeft w:val="0"/>
          <w:marRight w:val="0"/>
          <w:marTop w:val="0"/>
          <w:marBottom w:val="0"/>
          <w:divBdr>
            <w:top w:val="none" w:sz="0" w:space="0" w:color="auto"/>
            <w:left w:val="none" w:sz="0" w:space="0" w:color="auto"/>
            <w:bottom w:val="none" w:sz="0" w:space="0" w:color="auto"/>
            <w:right w:val="none" w:sz="0" w:space="0" w:color="auto"/>
          </w:divBdr>
        </w:div>
        <w:div w:id="1584341141">
          <w:marLeft w:val="0"/>
          <w:marRight w:val="0"/>
          <w:marTop w:val="0"/>
          <w:marBottom w:val="0"/>
          <w:divBdr>
            <w:top w:val="none" w:sz="0" w:space="0" w:color="auto"/>
            <w:left w:val="none" w:sz="0" w:space="0" w:color="auto"/>
            <w:bottom w:val="none" w:sz="0" w:space="0" w:color="auto"/>
            <w:right w:val="none" w:sz="0" w:space="0" w:color="auto"/>
          </w:divBdr>
        </w:div>
        <w:div w:id="1612281541">
          <w:marLeft w:val="0"/>
          <w:marRight w:val="0"/>
          <w:marTop w:val="0"/>
          <w:marBottom w:val="0"/>
          <w:divBdr>
            <w:top w:val="none" w:sz="0" w:space="0" w:color="auto"/>
            <w:left w:val="none" w:sz="0" w:space="0" w:color="auto"/>
            <w:bottom w:val="none" w:sz="0" w:space="0" w:color="auto"/>
            <w:right w:val="none" w:sz="0" w:space="0" w:color="auto"/>
          </w:divBdr>
        </w:div>
        <w:div w:id="1628587213">
          <w:marLeft w:val="0"/>
          <w:marRight w:val="0"/>
          <w:marTop w:val="0"/>
          <w:marBottom w:val="0"/>
          <w:divBdr>
            <w:top w:val="none" w:sz="0" w:space="0" w:color="auto"/>
            <w:left w:val="none" w:sz="0" w:space="0" w:color="auto"/>
            <w:bottom w:val="none" w:sz="0" w:space="0" w:color="auto"/>
            <w:right w:val="none" w:sz="0" w:space="0" w:color="auto"/>
          </w:divBdr>
        </w:div>
        <w:div w:id="1630280010">
          <w:marLeft w:val="0"/>
          <w:marRight w:val="0"/>
          <w:marTop w:val="0"/>
          <w:marBottom w:val="0"/>
          <w:divBdr>
            <w:top w:val="none" w:sz="0" w:space="0" w:color="auto"/>
            <w:left w:val="none" w:sz="0" w:space="0" w:color="auto"/>
            <w:bottom w:val="none" w:sz="0" w:space="0" w:color="auto"/>
            <w:right w:val="none" w:sz="0" w:space="0" w:color="auto"/>
          </w:divBdr>
        </w:div>
        <w:div w:id="1665089694">
          <w:marLeft w:val="0"/>
          <w:marRight w:val="0"/>
          <w:marTop w:val="0"/>
          <w:marBottom w:val="0"/>
          <w:divBdr>
            <w:top w:val="none" w:sz="0" w:space="0" w:color="auto"/>
            <w:left w:val="none" w:sz="0" w:space="0" w:color="auto"/>
            <w:bottom w:val="none" w:sz="0" w:space="0" w:color="auto"/>
            <w:right w:val="none" w:sz="0" w:space="0" w:color="auto"/>
          </w:divBdr>
        </w:div>
        <w:div w:id="1668048645">
          <w:marLeft w:val="0"/>
          <w:marRight w:val="0"/>
          <w:marTop w:val="0"/>
          <w:marBottom w:val="0"/>
          <w:divBdr>
            <w:top w:val="none" w:sz="0" w:space="0" w:color="auto"/>
            <w:left w:val="none" w:sz="0" w:space="0" w:color="auto"/>
            <w:bottom w:val="none" w:sz="0" w:space="0" w:color="auto"/>
            <w:right w:val="none" w:sz="0" w:space="0" w:color="auto"/>
          </w:divBdr>
        </w:div>
        <w:div w:id="1696615812">
          <w:marLeft w:val="0"/>
          <w:marRight w:val="0"/>
          <w:marTop w:val="0"/>
          <w:marBottom w:val="0"/>
          <w:divBdr>
            <w:top w:val="none" w:sz="0" w:space="0" w:color="auto"/>
            <w:left w:val="none" w:sz="0" w:space="0" w:color="auto"/>
            <w:bottom w:val="none" w:sz="0" w:space="0" w:color="auto"/>
            <w:right w:val="none" w:sz="0" w:space="0" w:color="auto"/>
          </w:divBdr>
        </w:div>
        <w:div w:id="1710835114">
          <w:marLeft w:val="0"/>
          <w:marRight w:val="0"/>
          <w:marTop w:val="0"/>
          <w:marBottom w:val="0"/>
          <w:divBdr>
            <w:top w:val="none" w:sz="0" w:space="0" w:color="auto"/>
            <w:left w:val="none" w:sz="0" w:space="0" w:color="auto"/>
            <w:bottom w:val="none" w:sz="0" w:space="0" w:color="auto"/>
            <w:right w:val="none" w:sz="0" w:space="0" w:color="auto"/>
          </w:divBdr>
        </w:div>
        <w:div w:id="1732849883">
          <w:marLeft w:val="0"/>
          <w:marRight w:val="0"/>
          <w:marTop w:val="0"/>
          <w:marBottom w:val="0"/>
          <w:divBdr>
            <w:top w:val="none" w:sz="0" w:space="0" w:color="auto"/>
            <w:left w:val="none" w:sz="0" w:space="0" w:color="auto"/>
            <w:bottom w:val="none" w:sz="0" w:space="0" w:color="auto"/>
            <w:right w:val="none" w:sz="0" w:space="0" w:color="auto"/>
          </w:divBdr>
        </w:div>
        <w:div w:id="1746104459">
          <w:marLeft w:val="0"/>
          <w:marRight w:val="0"/>
          <w:marTop w:val="0"/>
          <w:marBottom w:val="0"/>
          <w:divBdr>
            <w:top w:val="none" w:sz="0" w:space="0" w:color="auto"/>
            <w:left w:val="none" w:sz="0" w:space="0" w:color="auto"/>
            <w:bottom w:val="none" w:sz="0" w:space="0" w:color="auto"/>
            <w:right w:val="none" w:sz="0" w:space="0" w:color="auto"/>
          </w:divBdr>
        </w:div>
        <w:div w:id="1750731000">
          <w:marLeft w:val="0"/>
          <w:marRight w:val="0"/>
          <w:marTop w:val="0"/>
          <w:marBottom w:val="0"/>
          <w:divBdr>
            <w:top w:val="none" w:sz="0" w:space="0" w:color="auto"/>
            <w:left w:val="none" w:sz="0" w:space="0" w:color="auto"/>
            <w:bottom w:val="none" w:sz="0" w:space="0" w:color="auto"/>
            <w:right w:val="none" w:sz="0" w:space="0" w:color="auto"/>
          </w:divBdr>
        </w:div>
        <w:div w:id="1805082293">
          <w:marLeft w:val="0"/>
          <w:marRight w:val="0"/>
          <w:marTop w:val="0"/>
          <w:marBottom w:val="0"/>
          <w:divBdr>
            <w:top w:val="none" w:sz="0" w:space="0" w:color="auto"/>
            <w:left w:val="none" w:sz="0" w:space="0" w:color="auto"/>
            <w:bottom w:val="none" w:sz="0" w:space="0" w:color="auto"/>
            <w:right w:val="none" w:sz="0" w:space="0" w:color="auto"/>
          </w:divBdr>
        </w:div>
        <w:div w:id="1820884792">
          <w:marLeft w:val="0"/>
          <w:marRight w:val="0"/>
          <w:marTop w:val="0"/>
          <w:marBottom w:val="0"/>
          <w:divBdr>
            <w:top w:val="none" w:sz="0" w:space="0" w:color="auto"/>
            <w:left w:val="none" w:sz="0" w:space="0" w:color="auto"/>
            <w:bottom w:val="none" w:sz="0" w:space="0" w:color="auto"/>
            <w:right w:val="none" w:sz="0" w:space="0" w:color="auto"/>
          </w:divBdr>
        </w:div>
        <w:div w:id="1836604876">
          <w:marLeft w:val="0"/>
          <w:marRight w:val="0"/>
          <w:marTop w:val="0"/>
          <w:marBottom w:val="0"/>
          <w:divBdr>
            <w:top w:val="none" w:sz="0" w:space="0" w:color="auto"/>
            <w:left w:val="none" w:sz="0" w:space="0" w:color="auto"/>
            <w:bottom w:val="none" w:sz="0" w:space="0" w:color="auto"/>
            <w:right w:val="none" w:sz="0" w:space="0" w:color="auto"/>
          </w:divBdr>
        </w:div>
        <w:div w:id="1842044753">
          <w:marLeft w:val="0"/>
          <w:marRight w:val="0"/>
          <w:marTop w:val="0"/>
          <w:marBottom w:val="0"/>
          <w:divBdr>
            <w:top w:val="none" w:sz="0" w:space="0" w:color="auto"/>
            <w:left w:val="none" w:sz="0" w:space="0" w:color="auto"/>
            <w:bottom w:val="none" w:sz="0" w:space="0" w:color="auto"/>
            <w:right w:val="none" w:sz="0" w:space="0" w:color="auto"/>
          </w:divBdr>
        </w:div>
        <w:div w:id="1846168328">
          <w:marLeft w:val="0"/>
          <w:marRight w:val="0"/>
          <w:marTop w:val="0"/>
          <w:marBottom w:val="0"/>
          <w:divBdr>
            <w:top w:val="none" w:sz="0" w:space="0" w:color="auto"/>
            <w:left w:val="none" w:sz="0" w:space="0" w:color="auto"/>
            <w:bottom w:val="none" w:sz="0" w:space="0" w:color="auto"/>
            <w:right w:val="none" w:sz="0" w:space="0" w:color="auto"/>
          </w:divBdr>
        </w:div>
        <w:div w:id="1883981009">
          <w:marLeft w:val="0"/>
          <w:marRight w:val="0"/>
          <w:marTop w:val="0"/>
          <w:marBottom w:val="0"/>
          <w:divBdr>
            <w:top w:val="none" w:sz="0" w:space="0" w:color="auto"/>
            <w:left w:val="none" w:sz="0" w:space="0" w:color="auto"/>
            <w:bottom w:val="none" w:sz="0" w:space="0" w:color="auto"/>
            <w:right w:val="none" w:sz="0" w:space="0" w:color="auto"/>
          </w:divBdr>
        </w:div>
        <w:div w:id="1958751546">
          <w:marLeft w:val="0"/>
          <w:marRight w:val="0"/>
          <w:marTop w:val="0"/>
          <w:marBottom w:val="0"/>
          <w:divBdr>
            <w:top w:val="none" w:sz="0" w:space="0" w:color="auto"/>
            <w:left w:val="none" w:sz="0" w:space="0" w:color="auto"/>
            <w:bottom w:val="none" w:sz="0" w:space="0" w:color="auto"/>
            <w:right w:val="none" w:sz="0" w:space="0" w:color="auto"/>
          </w:divBdr>
        </w:div>
        <w:div w:id="1989432533">
          <w:marLeft w:val="0"/>
          <w:marRight w:val="0"/>
          <w:marTop w:val="0"/>
          <w:marBottom w:val="0"/>
          <w:divBdr>
            <w:top w:val="none" w:sz="0" w:space="0" w:color="auto"/>
            <w:left w:val="none" w:sz="0" w:space="0" w:color="auto"/>
            <w:bottom w:val="none" w:sz="0" w:space="0" w:color="auto"/>
            <w:right w:val="none" w:sz="0" w:space="0" w:color="auto"/>
          </w:divBdr>
        </w:div>
        <w:div w:id="2010137671">
          <w:marLeft w:val="0"/>
          <w:marRight w:val="0"/>
          <w:marTop w:val="0"/>
          <w:marBottom w:val="0"/>
          <w:divBdr>
            <w:top w:val="none" w:sz="0" w:space="0" w:color="auto"/>
            <w:left w:val="none" w:sz="0" w:space="0" w:color="auto"/>
            <w:bottom w:val="none" w:sz="0" w:space="0" w:color="auto"/>
            <w:right w:val="none" w:sz="0" w:space="0" w:color="auto"/>
          </w:divBdr>
        </w:div>
        <w:div w:id="2029984906">
          <w:marLeft w:val="0"/>
          <w:marRight w:val="0"/>
          <w:marTop w:val="0"/>
          <w:marBottom w:val="0"/>
          <w:divBdr>
            <w:top w:val="none" w:sz="0" w:space="0" w:color="auto"/>
            <w:left w:val="none" w:sz="0" w:space="0" w:color="auto"/>
            <w:bottom w:val="none" w:sz="0" w:space="0" w:color="auto"/>
            <w:right w:val="none" w:sz="0" w:space="0" w:color="auto"/>
          </w:divBdr>
        </w:div>
        <w:div w:id="2040084943">
          <w:marLeft w:val="0"/>
          <w:marRight w:val="0"/>
          <w:marTop w:val="0"/>
          <w:marBottom w:val="0"/>
          <w:divBdr>
            <w:top w:val="none" w:sz="0" w:space="0" w:color="auto"/>
            <w:left w:val="none" w:sz="0" w:space="0" w:color="auto"/>
            <w:bottom w:val="none" w:sz="0" w:space="0" w:color="auto"/>
            <w:right w:val="none" w:sz="0" w:space="0" w:color="auto"/>
          </w:divBdr>
        </w:div>
        <w:div w:id="2064207568">
          <w:marLeft w:val="0"/>
          <w:marRight w:val="0"/>
          <w:marTop w:val="0"/>
          <w:marBottom w:val="0"/>
          <w:divBdr>
            <w:top w:val="none" w:sz="0" w:space="0" w:color="auto"/>
            <w:left w:val="none" w:sz="0" w:space="0" w:color="auto"/>
            <w:bottom w:val="none" w:sz="0" w:space="0" w:color="auto"/>
            <w:right w:val="none" w:sz="0" w:space="0" w:color="auto"/>
          </w:divBdr>
        </w:div>
        <w:div w:id="2085757074">
          <w:marLeft w:val="0"/>
          <w:marRight w:val="0"/>
          <w:marTop w:val="0"/>
          <w:marBottom w:val="0"/>
          <w:divBdr>
            <w:top w:val="none" w:sz="0" w:space="0" w:color="auto"/>
            <w:left w:val="none" w:sz="0" w:space="0" w:color="auto"/>
            <w:bottom w:val="none" w:sz="0" w:space="0" w:color="auto"/>
            <w:right w:val="none" w:sz="0" w:space="0" w:color="auto"/>
          </w:divBdr>
        </w:div>
        <w:div w:id="2096660231">
          <w:marLeft w:val="0"/>
          <w:marRight w:val="0"/>
          <w:marTop w:val="0"/>
          <w:marBottom w:val="0"/>
          <w:divBdr>
            <w:top w:val="none" w:sz="0" w:space="0" w:color="auto"/>
            <w:left w:val="none" w:sz="0" w:space="0" w:color="auto"/>
            <w:bottom w:val="none" w:sz="0" w:space="0" w:color="auto"/>
            <w:right w:val="none" w:sz="0" w:space="0" w:color="auto"/>
          </w:divBdr>
        </w:div>
        <w:div w:id="2105152797">
          <w:marLeft w:val="0"/>
          <w:marRight w:val="0"/>
          <w:marTop w:val="0"/>
          <w:marBottom w:val="0"/>
          <w:divBdr>
            <w:top w:val="none" w:sz="0" w:space="0" w:color="auto"/>
            <w:left w:val="none" w:sz="0" w:space="0" w:color="auto"/>
            <w:bottom w:val="none" w:sz="0" w:space="0" w:color="auto"/>
            <w:right w:val="none" w:sz="0" w:space="0" w:color="auto"/>
          </w:divBdr>
        </w:div>
        <w:div w:id="2117866450">
          <w:marLeft w:val="0"/>
          <w:marRight w:val="0"/>
          <w:marTop w:val="0"/>
          <w:marBottom w:val="0"/>
          <w:divBdr>
            <w:top w:val="none" w:sz="0" w:space="0" w:color="auto"/>
            <w:left w:val="none" w:sz="0" w:space="0" w:color="auto"/>
            <w:bottom w:val="none" w:sz="0" w:space="0" w:color="auto"/>
            <w:right w:val="none" w:sz="0" w:space="0" w:color="auto"/>
          </w:divBdr>
        </w:div>
        <w:div w:id="2131364069">
          <w:marLeft w:val="0"/>
          <w:marRight w:val="0"/>
          <w:marTop w:val="0"/>
          <w:marBottom w:val="0"/>
          <w:divBdr>
            <w:top w:val="none" w:sz="0" w:space="0" w:color="auto"/>
            <w:left w:val="none" w:sz="0" w:space="0" w:color="auto"/>
            <w:bottom w:val="none" w:sz="0" w:space="0" w:color="auto"/>
            <w:right w:val="none" w:sz="0" w:space="0" w:color="auto"/>
          </w:divBdr>
        </w:div>
        <w:div w:id="2133788626">
          <w:marLeft w:val="0"/>
          <w:marRight w:val="0"/>
          <w:marTop w:val="0"/>
          <w:marBottom w:val="0"/>
          <w:divBdr>
            <w:top w:val="none" w:sz="0" w:space="0" w:color="auto"/>
            <w:left w:val="none" w:sz="0" w:space="0" w:color="auto"/>
            <w:bottom w:val="none" w:sz="0" w:space="0" w:color="auto"/>
            <w:right w:val="none" w:sz="0" w:space="0" w:color="auto"/>
          </w:divBdr>
        </w:div>
        <w:div w:id="2144107464">
          <w:marLeft w:val="0"/>
          <w:marRight w:val="0"/>
          <w:marTop w:val="0"/>
          <w:marBottom w:val="0"/>
          <w:divBdr>
            <w:top w:val="none" w:sz="0" w:space="0" w:color="auto"/>
            <w:left w:val="none" w:sz="0" w:space="0" w:color="auto"/>
            <w:bottom w:val="none" w:sz="0" w:space="0" w:color="auto"/>
            <w:right w:val="none" w:sz="0" w:space="0" w:color="auto"/>
          </w:divBdr>
        </w:div>
      </w:divsChild>
    </w:div>
    <w:div w:id="477308386">
      <w:bodyDiv w:val="1"/>
      <w:marLeft w:val="0"/>
      <w:marRight w:val="0"/>
      <w:marTop w:val="0"/>
      <w:marBottom w:val="0"/>
      <w:divBdr>
        <w:top w:val="none" w:sz="0" w:space="0" w:color="auto"/>
        <w:left w:val="none" w:sz="0" w:space="0" w:color="auto"/>
        <w:bottom w:val="none" w:sz="0" w:space="0" w:color="auto"/>
        <w:right w:val="none" w:sz="0" w:space="0" w:color="auto"/>
      </w:divBdr>
      <w:divsChild>
        <w:div w:id="2438024">
          <w:marLeft w:val="0"/>
          <w:marRight w:val="0"/>
          <w:marTop w:val="0"/>
          <w:marBottom w:val="0"/>
          <w:divBdr>
            <w:top w:val="none" w:sz="0" w:space="0" w:color="auto"/>
            <w:left w:val="none" w:sz="0" w:space="0" w:color="auto"/>
            <w:bottom w:val="none" w:sz="0" w:space="0" w:color="auto"/>
            <w:right w:val="none" w:sz="0" w:space="0" w:color="auto"/>
          </w:divBdr>
        </w:div>
        <w:div w:id="19362652">
          <w:marLeft w:val="0"/>
          <w:marRight w:val="0"/>
          <w:marTop w:val="0"/>
          <w:marBottom w:val="0"/>
          <w:divBdr>
            <w:top w:val="none" w:sz="0" w:space="0" w:color="auto"/>
            <w:left w:val="none" w:sz="0" w:space="0" w:color="auto"/>
            <w:bottom w:val="none" w:sz="0" w:space="0" w:color="auto"/>
            <w:right w:val="none" w:sz="0" w:space="0" w:color="auto"/>
          </w:divBdr>
        </w:div>
        <w:div w:id="28386486">
          <w:marLeft w:val="0"/>
          <w:marRight w:val="0"/>
          <w:marTop w:val="0"/>
          <w:marBottom w:val="0"/>
          <w:divBdr>
            <w:top w:val="none" w:sz="0" w:space="0" w:color="auto"/>
            <w:left w:val="none" w:sz="0" w:space="0" w:color="auto"/>
            <w:bottom w:val="none" w:sz="0" w:space="0" w:color="auto"/>
            <w:right w:val="none" w:sz="0" w:space="0" w:color="auto"/>
          </w:divBdr>
        </w:div>
        <w:div w:id="34896393">
          <w:marLeft w:val="0"/>
          <w:marRight w:val="0"/>
          <w:marTop w:val="0"/>
          <w:marBottom w:val="0"/>
          <w:divBdr>
            <w:top w:val="none" w:sz="0" w:space="0" w:color="auto"/>
            <w:left w:val="none" w:sz="0" w:space="0" w:color="auto"/>
            <w:bottom w:val="none" w:sz="0" w:space="0" w:color="auto"/>
            <w:right w:val="none" w:sz="0" w:space="0" w:color="auto"/>
          </w:divBdr>
        </w:div>
        <w:div w:id="39480001">
          <w:marLeft w:val="0"/>
          <w:marRight w:val="0"/>
          <w:marTop w:val="0"/>
          <w:marBottom w:val="0"/>
          <w:divBdr>
            <w:top w:val="none" w:sz="0" w:space="0" w:color="auto"/>
            <w:left w:val="none" w:sz="0" w:space="0" w:color="auto"/>
            <w:bottom w:val="none" w:sz="0" w:space="0" w:color="auto"/>
            <w:right w:val="none" w:sz="0" w:space="0" w:color="auto"/>
          </w:divBdr>
        </w:div>
        <w:div w:id="40980169">
          <w:marLeft w:val="0"/>
          <w:marRight w:val="0"/>
          <w:marTop w:val="0"/>
          <w:marBottom w:val="0"/>
          <w:divBdr>
            <w:top w:val="none" w:sz="0" w:space="0" w:color="auto"/>
            <w:left w:val="none" w:sz="0" w:space="0" w:color="auto"/>
            <w:bottom w:val="none" w:sz="0" w:space="0" w:color="auto"/>
            <w:right w:val="none" w:sz="0" w:space="0" w:color="auto"/>
          </w:divBdr>
        </w:div>
        <w:div w:id="42873677">
          <w:marLeft w:val="0"/>
          <w:marRight w:val="0"/>
          <w:marTop w:val="0"/>
          <w:marBottom w:val="0"/>
          <w:divBdr>
            <w:top w:val="none" w:sz="0" w:space="0" w:color="auto"/>
            <w:left w:val="none" w:sz="0" w:space="0" w:color="auto"/>
            <w:bottom w:val="none" w:sz="0" w:space="0" w:color="auto"/>
            <w:right w:val="none" w:sz="0" w:space="0" w:color="auto"/>
          </w:divBdr>
        </w:div>
        <w:div w:id="46227652">
          <w:marLeft w:val="0"/>
          <w:marRight w:val="0"/>
          <w:marTop w:val="0"/>
          <w:marBottom w:val="0"/>
          <w:divBdr>
            <w:top w:val="none" w:sz="0" w:space="0" w:color="auto"/>
            <w:left w:val="none" w:sz="0" w:space="0" w:color="auto"/>
            <w:bottom w:val="none" w:sz="0" w:space="0" w:color="auto"/>
            <w:right w:val="none" w:sz="0" w:space="0" w:color="auto"/>
          </w:divBdr>
        </w:div>
        <w:div w:id="53505655">
          <w:marLeft w:val="0"/>
          <w:marRight w:val="0"/>
          <w:marTop w:val="0"/>
          <w:marBottom w:val="0"/>
          <w:divBdr>
            <w:top w:val="none" w:sz="0" w:space="0" w:color="auto"/>
            <w:left w:val="none" w:sz="0" w:space="0" w:color="auto"/>
            <w:bottom w:val="none" w:sz="0" w:space="0" w:color="auto"/>
            <w:right w:val="none" w:sz="0" w:space="0" w:color="auto"/>
          </w:divBdr>
        </w:div>
        <w:div w:id="70395328">
          <w:marLeft w:val="0"/>
          <w:marRight w:val="0"/>
          <w:marTop w:val="0"/>
          <w:marBottom w:val="0"/>
          <w:divBdr>
            <w:top w:val="none" w:sz="0" w:space="0" w:color="auto"/>
            <w:left w:val="none" w:sz="0" w:space="0" w:color="auto"/>
            <w:bottom w:val="none" w:sz="0" w:space="0" w:color="auto"/>
            <w:right w:val="none" w:sz="0" w:space="0" w:color="auto"/>
          </w:divBdr>
        </w:div>
        <w:div w:id="91558577">
          <w:marLeft w:val="0"/>
          <w:marRight w:val="0"/>
          <w:marTop w:val="0"/>
          <w:marBottom w:val="0"/>
          <w:divBdr>
            <w:top w:val="none" w:sz="0" w:space="0" w:color="auto"/>
            <w:left w:val="none" w:sz="0" w:space="0" w:color="auto"/>
            <w:bottom w:val="none" w:sz="0" w:space="0" w:color="auto"/>
            <w:right w:val="none" w:sz="0" w:space="0" w:color="auto"/>
          </w:divBdr>
        </w:div>
        <w:div w:id="94594959">
          <w:marLeft w:val="0"/>
          <w:marRight w:val="0"/>
          <w:marTop w:val="0"/>
          <w:marBottom w:val="0"/>
          <w:divBdr>
            <w:top w:val="none" w:sz="0" w:space="0" w:color="auto"/>
            <w:left w:val="none" w:sz="0" w:space="0" w:color="auto"/>
            <w:bottom w:val="none" w:sz="0" w:space="0" w:color="auto"/>
            <w:right w:val="none" w:sz="0" w:space="0" w:color="auto"/>
          </w:divBdr>
        </w:div>
        <w:div w:id="101072769">
          <w:marLeft w:val="0"/>
          <w:marRight w:val="0"/>
          <w:marTop w:val="0"/>
          <w:marBottom w:val="0"/>
          <w:divBdr>
            <w:top w:val="none" w:sz="0" w:space="0" w:color="auto"/>
            <w:left w:val="none" w:sz="0" w:space="0" w:color="auto"/>
            <w:bottom w:val="none" w:sz="0" w:space="0" w:color="auto"/>
            <w:right w:val="none" w:sz="0" w:space="0" w:color="auto"/>
          </w:divBdr>
        </w:div>
        <w:div w:id="117915183">
          <w:marLeft w:val="0"/>
          <w:marRight w:val="0"/>
          <w:marTop w:val="0"/>
          <w:marBottom w:val="0"/>
          <w:divBdr>
            <w:top w:val="none" w:sz="0" w:space="0" w:color="auto"/>
            <w:left w:val="none" w:sz="0" w:space="0" w:color="auto"/>
            <w:bottom w:val="none" w:sz="0" w:space="0" w:color="auto"/>
            <w:right w:val="none" w:sz="0" w:space="0" w:color="auto"/>
          </w:divBdr>
        </w:div>
        <w:div w:id="141508947">
          <w:marLeft w:val="0"/>
          <w:marRight w:val="0"/>
          <w:marTop w:val="0"/>
          <w:marBottom w:val="0"/>
          <w:divBdr>
            <w:top w:val="none" w:sz="0" w:space="0" w:color="auto"/>
            <w:left w:val="none" w:sz="0" w:space="0" w:color="auto"/>
            <w:bottom w:val="none" w:sz="0" w:space="0" w:color="auto"/>
            <w:right w:val="none" w:sz="0" w:space="0" w:color="auto"/>
          </w:divBdr>
        </w:div>
        <w:div w:id="141775568">
          <w:marLeft w:val="0"/>
          <w:marRight w:val="0"/>
          <w:marTop w:val="0"/>
          <w:marBottom w:val="0"/>
          <w:divBdr>
            <w:top w:val="none" w:sz="0" w:space="0" w:color="auto"/>
            <w:left w:val="none" w:sz="0" w:space="0" w:color="auto"/>
            <w:bottom w:val="none" w:sz="0" w:space="0" w:color="auto"/>
            <w:right w:val="none" w:sz="0" w:space="0" w:color="auto"/>
          </w:divBdr>
        </w:div>
        <w:div w:id="177156972">
          <w:marLeft w:val="0"/>
          <w:marRight w:val="0"/>
          <w:marTop w:val="0"/>
          <w:marBottom w:val="0"/>
          <w:divBdr>
            <w:top w:val="none" w:sz="0" w:space="0" w:color="auto"/>
            <w:left w:val="none" w:sz="0" w:space="0" w:color="auto"/>
            <w:bottom w:val="none" w:sz="0" w:space="0" w:color="auto"/>
            <w:right w:val="none" w:sz="0" w:space="0" w:color="auto"/>
          </w:divBdr>
        </w:div>
        <w:div w:id="193157431">
          <w:marLeft w:val="0"/>
          <w:marRight w:val="0"/>
          <w:marTop w:val="0"/>
          <w:marBottom w:val="0"/>
          <w:divBdr>
            <w:top w:val="none" w:sz="0" w:space="0" w:color="auto"/>
            <w:left w:val="none" w:sz="0" w:space="0" w:color="auto"/>
            <w:bottom w:val="none" w:sz="0" w:space="0" w:color="auto"/>
            <w:right w:val="none" w:sz="0" w:space="0" w:color="auto"/>
          </w:divBdr>
        </w:div>
        <w:div w:id="206375713">
          <w:marLeft w:val="0"/>
          <w:marRight w:val="0"/>
          <w:marTop w:val="0"/>
          <w:marBottom w:val="0"/>
          <w:divBdr>
            <w:top w:val="none" w:sz="0" w:space="0" w:color="auto"/>
            <w:left w:val="none" w:sz="0" w:space="0" w:color="auto"/>
            <w:bottom w:val="none" w:sz="0" w:space="0" w:color="auto"/>
            <w:right w:val="none" w:sz="0" w:space="0" w:color="auto"/>
          </w:divBdr>
        </w:div>
        <w:div w:id="249891561">
          <w:marLeft w:val="0"/>
          <w:marRight w:val="0"/>
          <w:marTop w:val="0"/>
          <w:marBottom w:val="0"/>
          <w:divBdr>
            <w:top w:val="none" w:sz="0" w:space="0" w:color="auto"/>
            <w:left w:val="none" w:sz="0" w:space="0" w:color="auto"/>
            <w:bottom w:val="none" w:sz="0" w:space="0" w:color="auto"/>
            <w:right w:val="none" w:sz="0" w:space="0" w:color="auto"/>
          </w:divBdr>
        </w:div>
        <w:div w:id="259996989">
          <w:marLeft w:val="0"/>
          <w:marRight w:val="0"/>
          <w:marTop w:val="0"/>
          <w:marBottom w:val="0"/>
          <w:divBdr>
            <w:top w:val="none" w:sz="0" w:space="0" w:color="auto"/>
            <w:left w:val="none" w:sz="0" w:space="0" w:color="auto"/>
            <w:bottom w:val="none" w:sz="0" w:space="0" w:color="auto"/>
            <w:right w:val="none" w:sz="0" w:space="0" w:color="auto"/>
          </w:divBdr>
        </w:div>
        <w:div w:id="266473328">
          <w:marLeft w:val="0"/>
          <w:marRight w:val="0"/>
          <w:marTop w:val="0"/>
          <w:marBottom w:val="0"/>
          <w:divBdr>
            <w:top w:val="none" w:sz="0" w:space="0" w:color="auto"/>
            <w:left w:val="none" w:sz="0" w:space="0" w:color="auto"/>
            <w:bottom w:val="none" w:sz="0" w:space="0" w:color="auto"/>
            <w:right w:val="none" w:sz="0" w:space="0" w:color="auto"/>
          </w:divBdr>
        </w:div>
        <w:div w:id="287711009">
          <w:marLeft w:val="0"/>
          <w:marRight w:val="0"/>
          <w:marTop w:val="0"/>
          <w:marBottom w:val="0"/>
          <w:divBdr>
            <w:top w:val="none" w:sz="0" w:space="0" w:color="auto"/>
            <w:left w:val="none" w:sz="0" w:space="0" w:color="auto"/>
            <w:bottom w:val="none" w:sz="0" w:space="0" w:color="auto"/>
            <w:right w:val="none" w:sz="0" w:space="0" w:color="auto"/>
          </w:divBdr>
        </w:div>
        <w:div w:id="300308195">
          <w:marLeft w:val="0"/>
          <w:marRight w:val="0"/>
          <w:marTop w:val="0"/>
          <w:marBottom w:val="0"/>
          <w:divBdr>
            <w:top w:val="none" w:sz="0" w:space="0" w:color="auto"/>
            <w:left w:val="none" w:sz="0" w:space="0" w:color="auto"/>
            <w:bottom w:val="none" w:sz="0" w:space="0" w:color="auto"/>
            <w:right w:val="none" w:sz="0" w:space="0" w:color="auto"/>
          </w:divBdr>
        </w:div>
        <w:div w:id="319845332">
          <w:marLeft w:val="0"/>
          <w:marRight w:val="0"/>
          <w:marTop w:val="0"/>
          <w:marBottom w:val="0"/>
          <w:divBdr>
            <w:top w:val="none" w:sz="0" w:space="0" w:color="auto"/>
            <w:left w:val="none" w:sz="0" w:space="0" w:color="auto"/>
            <w:bottom w:val="none" w:sz="0" w:space="0" w:color="auto"/>
            <w:right w:val="none" w:sz="0" w:space="0" w:color="auto"/>
          </w:divBdr>
        </w:div>
        <w:div w:id="363748904">
          <w:marLeft w:val="0"/>
          <w:marRight w:val="0"/>
          <w:marTop w:val="0"/>
          <w:marBottom w:val="0"/>
          <w:divBdr>
            <w:top w:val="none" w:sz="0" w:space="0" w:color="auto"/>
            <w:left w:val="none" w:sz="0" w:space="0" w:color="auto"/>
            <w:bottom w:val="none" w:sz="0" w:space="0" w:color="auto"/>
            <w:right w:val="none" w:sz="0" w:space="0" w:color="auto"/>
          </w:divBdr>
        </w:div>
        <w:div w:id="395247965">
          <w:marLeft w:val="0"/>
          <w:marRight w:val="0"/>
          <w:marTop w:val="0"/>
          <w:marBottom w:val="0"/>
          <w:divBdr>
            <w:top w:val="none" w:sz="0" w:space="0" w:color="auto"/>
            <w:left w:val="none" w:sz="0" w:space="0" w:color="auto"/>
            <w:bottom w:val="none" w:sz="0" w:space="0" w:color="auto"/>
            <w:right w:val="none" w:sz="0" w:space="0" w:color="auto"/>
          </w:divBdr>
        </w:div>
        <w:div w:id="416366662">
          <w:marLeft w:val="0"/>
          <w:marRight w:val="0"/>
          <w:marTop w:val="0"/>
          <w:marBottom w:val="0"/>
          <w:divBdr>
            <w:top w:val="none" w:sz="0" w:space="0" w:color="auto"/>
            <w:left w:val="none" w:sz="0" w:space="0" w:color="auto"/>
            <w:bottom w:val="none" w:sz="0" w:space="0" w:color="auto"/>
            <w:right w:val="none" w:sz="0" w:space="0" w:color="auto"/>
          </w:divBdr>
        </w:div>
        <w:div w:id="417562068">
          <w:marLeft w:val="0"/>
          <w:marRight w:val="0"/>
          <w:marTop w:val="0"/>
          <w:marBottom w:val="0"/>
          <w:divBdr>
            <w:top w:val="none" w:sz="0" w:space="0" w:color="auto"/>
            <w:left w:val="none" w:sz="0" w:space="0" w:color="auto"/>
            <w:bottom w:val="none" w:sz="0" w:space="0" w:color="auto"/>
            <w:right w:val="none" w:sz="0" w:space="0" w:color="auto"/>
          </w:divBdr>
        </w:div>
        <w:div w:id="438986156">
          <w:marLeft w:val="0"/>
          <w:marRight w:val="0"/>
          <w:marTop w:val="0"/>
          <w:marBottom w:val="0"/>
          <w:divBdr>
            <w:top w:val="none" w:sz="0" w:space="0" w:color="auto"/>
            <w:left w:val="none" w:sz="0" w:space="0" w:color="auto"/>
            <w:bottom w:val="none" w:sz="0" w:space="0" w:color="auto"/>
            <w:right w:val="none" w:sz="0" w:space="0" w:color="auto"/>
          </w:divBdr>
        </w:div>
        <w:div w:id="448011546">
          <w:marLeft w:val="0"/>
          <w:marRight w:val="0"/>
          <w:marTop w:val="0"/>
          <w:marBottom w:val="0"/>
          <w:divBdr>
            <w:top w:val="none" w:sz="0" w:space="0" w:color="auto"/>
            <w:left w:val="none" w:sz="0" w:space="0" w:color="auto"/>
            <w:bottom w:val="none" w:sz="0" w:space="0" w:color="auto"/>
            <w:right w:val="none" w:sz="0" w:space="0" w:color="auto"/>
          </w:divBdr>
        </w:div>
        <w:div w:id="456029717">
          <w:marLeft w:val="0"/>
          <w:marRight w:val="0"/>
          <w:marTop w:val="0"/>
          <w:marBottom w:val="0"/>
          <w:divBdr>
            <w:top w:val="none" w:sz="0" w:space="0" w:color="auto"/>
            <w:left w:val="none" w:sz="0" w:space="0" w:color="auto"/>
            <w:bottom w:val="none" w:sz="0" w:space="0" w:color="auto"/>
            <w:right w:val="none" w:sz="0" w:space="0" w:color="auto"/>
          </w:divBdr>
        </w:div>
        <w:div w:id="458571294">
          <w:marLeft w:val="0"/>
          <w:marRight w:val="0"/>
          <w:marTop w:val="0"/>
          <w:marBottom w:val="0"/>
          <w:divBdr>
            <w:top w:val="none" w:sz="0" w:space="0" w:color="auto"/>
            <w:left w:val="none" w:sz="0" w:space="0" w:color="auto"/>
            <w:bottom w:val="none" w:sz="0" w:space="0" w:color="auto"/>
            <w:right w:val="none" w:sz="0" w:space="0" w:color="auto"/>
          </w:divBdr>
        </w:div>
        <w:div w:id="466357265">
          <w:marLeft w:val="0"/>
          <w:marRight w:val="0"/>
          <w:marTop w:val="0"/>
          <w:marBottom w:val="0"/>
          <w:divBdr>
            <w:top w:val="none" w:sz="0" w:space="0" w:color="auto"/>
            <w:left w:val="none" w:sz="0" w:space="0" w:color="auto"/>
            <w:bottom w:val="none" w:sz="0" w:space="0" w:color="auto"/>
            <w:right w:val="none" w:sz="0" w:space="0" w:color="auto"/>
          </w:divBdr>
        </w:div>
        <w:div w:id="471169285">
          <w:marLeft w:val="0"/>
          <w:marRight w:val="0"/>
          <w:marTop w:val="0"/>
          <w:marBottom w:val="0"/>
          <w:divBdr>
            <w:top w:val="none" w:sz="0" w:space="0" w:color="auto"/>
            <w:left w:val="none" w:sz="0" w:space="0" w:color="auto"/>
            <w:bottom w:val="none" w:sz="0" w:space="0" w:color="auto"/>
            <w:right w:val="none" w:sz="0" w:space="0" w:color="auto"/>
          </w:divBdr>
        </w:div>
        <w:div w:id="487287576">
          <w:marLeft w:val="0"/>
          <w:marRight w:val="0"/>
          <w:marTop w:val="0"/>
          <w:marBottom w:val="0"/>
          <w:divBdr>
            <w:top w:val="none" w:sz="0" w:space="0" w:color="auto"/>
            <w:left w:val="none" w:sz="0" w:space="0" w:color="auto"/>
            <w:bottom w:val="none" w:sz="0" w:space="0" w:color="auto"/>
            <w:right w:val="none" w:sz="0" w:space="0" w:color="auto"/>
          </w:divBdr>
        </w:div>
        <w:div w:id="499275067">
          <w:marLeft w:val="0"/>
          <w:marRight w:val="0"/>
          <w:marTop w:val="0"/>
          <w:marBottom w:val="0"/>
          <w:divBdr>
            <w:top w:val="none" w:sz="0" w:space="0" w:color="auto"/>
            <w:left w:val="none" w:sz="0" w:space="0" w:color="auto"/>
            <w:bottom w:val="none" w:sz="0" w:space="0" w:color="auto"/>
            <w:right w:val="none" w:sz="0" w:space="0" w:color="auto"/>
          </w:divBdr>
        </w:div>
        <w:div w:id="499659742">
          <w:marLeft w:val="0"/>
          <w:marRight w:val="0"/>
          <w:marTop w:val="0"/>
          <w:marBottom w:val="0"/>
          <w:divBdr>
            <w:top w:val="none" w:sz="0" w:space="0" w:color="auto"/>
            <w:left w:val="none" w:sz="0" w:space="0" w:color="auto"/>
            <w:bottom w:val="none" w:sz="0" w:space="0" w:color="auto"/>
            <w:right w:val="none" w:sz="0" w:space="0" w:color="auto"/>
          </w:divBdr>
        </w:div>
        <w:div w:id="504901315">
          <w:marLeft w:val="0"/>
          <w:marRight w:val="0"/>
          <w:marTop w:val="0"/>
          <w:marBottom w:val="0"/>
          <w:divBdr>
            <w:top w:val="none" w:sz="0" w:space="0" w:color="auto"/>
            <w:left w:val="none" w:sz="0" w:space="0" w:color="auto"/>
            <w:bottom w:val="none" w:sz="0" w:space="0" w:color="auto"/>
            <w:right w:val="none" w:sz="0" w:space="0" w:color="auto"/>
          </w:divBdr>
        </w:div>
        <w:div w:id="505050423">
          <w:marLeft w:val="0"/>
          <w:marRight w:val="0"/>
          <w:marTop w:val="0"/>
          <w:marBottom w:val="0"/>
          <w:divBdr>
            <w:top w:val="none" w:sz="0" w:space="0" w:color="auto"/>
            <w:left w:val="none" w:sz="0" w:space="0" w:color="auto"/>
            <w:bottom w:val="none" w:sz="0" w:space="0" w:color="auto"/>
            <w:right w:val="none" w:sz="0" w:space="0" w:color="auto"/>
          </w:divBdr>
        </w:div>
        <w:div w:id="508839253">
          <w:marLeft w:val="0"/>
          <w:marRight w:val="0"/>
          <w:marTop w:val="0"/>
          <w:marBottom w:val="0"/>
          <w:divBdr>
            <w:top w:val="none" w:sz="0" w:space="0" w:color="auto"/>
            <w:left w:val="none" w:sz="0" w:space="0" w:color="auto"/>
            <w:bottom w:val="none" w:sz="0" w:space="0" w:color="auto"/>
            <w:right w:val="none" w:sz="0" w:space="0" w:color="auto"/>
          </w:divBdr>
        </w:div>
        <w:div w:id="512959033">
          <w:marLeft w:val="0"/>
          <w:marRight w:val="0"/>
          <w:marTop w:val="0"/>
          <w:marBottom w:val="0"/>
          <w:divBdr>
            <w:top w:val="none" w:sz="0" w:space="0" w:color="auto"/>
            <w:left w:val="none" w:sz="0" w:space="0" w:color="auto"/>
            <w:bottom w:val="none" w:sz="0" w:space="0" w:color="auto"/>
            <w:right w:val="none" w:sz="0" w:space="0" w:color="auto"/>
          </w:divBdr>
        </w:div>
        <w:div w:id="531847579">
          <w:marLeft w:val="0"/>
          <w:marRight w:val="0"/>
          <w:marTop w:val="0"/>
          <w:marBottom w:val="0"/>
          <w:divBdr>
            <w:top w:val="none" w:sz="0" w:space="0" w:color="auto"/>
            <w:left w:val="none" w:sz="0" w:space="0" w:color="auto"/>
            <w:bottom w:val="none" w:sz="0" w:space="0" w:color="auto"/>
            <w:right w:val="none" w:sz="0" w:space="0" w:color="auto"/>
          </w:divBdr>
        </w:div>
        <w:div w:id="542056771">
          <w:marLeft w:val="0"/>
          <w:marRight w:val="0"/>
          <w:marTop w:val="0"/>
          <w:marBottom w:val="0"/>
          <w:divBdr>
            <w:top w:val="none" w:sz="0" w:space="0" w:color="auto"/>
            <w:left w:val="none" w:sz="0" w:space="0" w:color="auto"/>
            <w:bottom w:val="none" w:sz="0" w:space="0" w:color="auto"/>
            <w:right w:val="none" w:sz="0" w:space="0" w:color="auto"/>
          </w:divBdr>
        </w:div>
        <w:div w:id="563609640">
          <w:marLeft w:val="0"/>
          <w:marRight w:val="0"/>
          <w:marTop w:val="0"/>
          <w:marBottom w:val="0"/>
          <w:divBdr>
            <w:top w:val="none" w:sz="0" w:space="0" w:color="auto"/>
            <w:left w:val="none" w:sz="0" w:space="0" w:color="auto"/>
            <w:bottom w:val="none" w:sz="0" w:space="0" w:color="auto"/>
            <w:right w:val="none" w:sz="0" w:space="0" w:color="auto"/>
          </w:divBdr>
        </w:div>
        <w:div w:id="569391606">
          <w:marLeft w:val="0"/>
          <w:marRight w:val="0"/>
          <w:marTop w:val="0"/>
          <w:marBottom w:val="0"/>
          <w:divBdr>
            <w:top w:val="none" w:sz="0" w:space="0" w:color="auto"/>
            <w:left w:val="none" w:sz="0" w:space="0" w:color="auto"/>
            <w:bottom w:val="none" w:sz="0" w:space="0" w:color="auto"/>
            <w:right w:val="none" w:sz="0" w:space="0" w:color="auto"/>
          </w:divBdr>
        </w:div>
        <w:div w:id="572549014">
          <w:marLeft w:val="0"/>
          <w:marRight w:val="0"/>
          <w:marTop w:val="0"/>
          <w:marBottom w:val="0"/>
          <w:divBdr>
            <w:top w:val="none" w:sz="0" w:space="0" w:color="auto"/>
            <w:left w:val="none" w:sz="0" w:space="0" w:color="auto"/>
            <w:bottom w:val="none" w:sz="0" w:space="0" w:color="auto"/>
            <w:right w:val="none" w:sz="0" w:space="0" w:color="auto"/>
          </w:divBdr>
        </w:div>
        <w:div w:id="574778702">
          <w:marLeft w:val="0"/>
          <w:marRight w:val="0"/>
          <w:marTop w:val="0"/>
          <w:marBottom w:val="0"/>
          <w:divBdr>
            <w:top w:val="none" w:sz="0" w:space="0" w:color="auto"/>
            <w:left w:val="none" w:sz="0" w:space="0" w:color="auto"/>
            <w:bottom w:val="none" w:sz="0" w:space="0" w:color="auto"/>
            <w:right w:val="none" w:sz="0" w:space="0" w:color="auto"/>
          </w:divBdr>
        </w:div>
        <w:div w:id="577133437">
          <w:marLeft w:val="0"/>
          <w:marRight w:val="0"/>
          <w:marTop w:val="0"/>
          <w:marBottom w:val="0"/>
          <w:divBdr>
            <w:top w:val="none" w:sz="0" w:space="0" w:color="auto"/>
            <w:left w:val="none" w:sz="0" w:space="0" w:color="auto"/>
            <w:bottom w:val="none" w:sz="0" w:space="0" w:color="auto"/>
            <w:right w:val="none" w:sz="0" w:space="0" w:color="auto"/>
          </w:divBdr>
        </w:div>
        <w:div w:id="599068933">
          <w:marLeft w:val="0"/>
          <w:marRight w:val="0"/>
          <w:marTop w:val="0"/>
          <w:marBottom w:val="0"/>
          <w:divBdr>
            <w:top w:val="none" w:sz="0" w:space="0" w:color="auto"/>
            <w:left w:val="none" w:sz="0" w:space="0" w:color="auto"/>
            <w:bottom w:val="none" w:sz="0" w:space="0" w:color="auto"/>
            <w:right w:val="none" w:sz="0" w:space="0" w:color="auto"/>
          </w:divBdr>
        </w:div>
        <w:div w:id="611322309">
          <w:marLeft w:val="0"/>
          <w:marRight w:val="0"/>
          <w:marTop w:val="0"/>
          <w:marBottom w:val="0"/>
          <w:divBdr>
            <w:top w:val="none" w:sz="0" w:space="0" w:color="auto"/>
            <w:left w:val="none" w:sz="0" w:space="0" w:color="auto"/>
            <w:bottom w:val="none" w:sz="0" w:space="0" w:color="auto"/>
            <w:right w:val="none" w:sz="0" w:space="0" w:color="auto"/>
          </w:divBdr>
        </w:div>
        <w:div w:id="611595408">
          <w:marLeft w:val="0"/>
          <w:marRight w:val="0"/>
          <w:marTop w:val="0"/>
          <w:marBottom w:val="0"/>
          <w:divBdr>
            <w:top w:val="none" w:sz="0" w:space="0" w:color="auto"/>
            <w:left w:val="none" w:sz="0" w:space="0" w:color="auto"/>
            <w:bottom w:val="none" w:sz="0" w:space="0" w:color="auto"/>
            <w:right w:val="none" w:sz="0" w:space="0" w:color="auto"/>
          </w:divBdr>
        </w:div>
        <w:div w:id="615597956">
          <w:marLeft w:val="0"/>
          <w:marRight w:val="0"/>
          <w:marTop w:val="0"/>
          <w:marBottom w:val="0"/>
          <w:divBdr>
            <w:top w:val="none" w:sz="0" w:space="0" w:color="auto"/>
            <w:left w:val="none" w:sz="0" w:space="0" w:color="auto"/>
            <w:bottom w:val="none" w:sz="0" w:space="0" w:color="auto"/>
            <w:right w:val="none" w:sz="0" w:space="0" w:color="auto"/>
          </w:divBdr>
        </w:div>
        <w:div w:id="627512215">
          <w:marLeft w:val="0"/>
          <w:marRight w:val="0"/>
          <w:marTop w:val="0"/>
          <w:marBottom w:val="0"/>
          <w:divBdr>
            <w:top w:val="none" w:sz="0" w:space="0" w:color="auto"/>
            <w:left w:val="none" w:sz="0" w:space="0" w:color="auto"/>
            <w:bottom w:val="none" w:sz="0" w:space="0" w:color="auto"/>
            <w:right w:val="none" w:sz="0" w:space="0" w:color="auto"/>
          </w:divBdr>
        </w:div>
        <w:div w:id="630401919">
          <w:marLeft w:val="0"/>
          <w:marRight w:val="0"/>
          <w:marTop w:val="0"/>
          <w:marBottom w:val="0"/>
          <w:divBdr>
            <w:top w:val="none" w:sz="0" w:space="0" w:color="auto"/>
            <w:left w:val="none" w:sz="0" w:space="0" w:color="auto"/>
            <w:bottom w:val="none" w:sz="0" w:space="0" w:color="auto"/>
            <w:right w:val="none" w:sz="0" w:space="0" w:color="auto"/>
          </w:divBdr>
        </w:div>
        <w:div w:id="649945077">
          <w:marLeft w:val="0"/>
          <w:marRight w:val="0"/>
          <w:marTop w:val="0"/>
          <w:marBottom w:val="0"/>
          <w:divBdr>
            <w:top w:val="none" w:sz="0" w:space="0" w:color="auto"/>
            <w:left w:val="none" w:sz="0" w:space="0" w:color="auto"/>
            <w:bottom w:val="none" w:sz="0" w:space="0" w:color="auto"/>
            <w:right w:val="none" w:sz="0" w:space="0" w:color="auto"/>
          </w:divBdr>
        </w:div>
        <w:div w:id="663046719">
          <w:marLeft w:val="0"/>
          <w:marRight w:val="0"/>
          <w:marTop w:val="0"/>
          <w:marBottom w:val="0"/>
          <w:divBdr>
            <w:top w:val="none" w:sz="0" w:space="0" w:color="auto"/>
            <w:left w:val="none" w:sz="0" w:space="0" w:color="auto"/>
            <w:bottom w:val="none" w:sz="0" w:space="0" w:color="auto"/>
            <w:right w:val="none" w:sz="0" w:space="0" w:color="auto"/>
          </w:divBdr>
        </w:div>
        <w:div w:id="664281758">
          <w:marLeft w:val="0"/>
          <w:marRight w:val="0"/>
          <w:marTop w:val="0"/>
          <w:marBottom w:val="0"/>
          <w:divBdr>
            <w:top w:val="none" w:sz="0" w:space="0" w:color="auto"/>
            <w:left w:val="none" w:sz="0" w:space="0" w:color="auto"/>
            <w:bottom w:val="none" w:sz="0" w:space="0" w:color="auto"/>
            <w:right w:val="none" w:sz="0" w:space="0" w:color="auto"/>
          </w:divBdr>
        </w:div>
        <w:div w:id="680745308">
          <w:marLeft w:val="0"/>
          <w:marRight w:val="0"/>
          <w:marTop w:val="0"/>
          <w:marBottom w:val="0"/>
          <w:divBdr>
            <w:top w:val="none" w:sz="0" w:space="0" w:color="auto"/>
            <w:left w:val="none" w:sz="0" w:space="0" w:color="auto"/>
            <w:bottom w:val="none" w:sz="0" w:space="0" w:color="auto"/>
            <w:right w:val="none" w:sz="0" w:space="0" w:color="auto"/>
          </w:divBdr>
        </w:div>
        <w:div w:id="683870859">
          <w:marLeft w:val="0"/>
          <w:marRight w:val="0"/>
          <w:marTop w:val="0"/>
          <w:marBottom w:val="0"/>
          <w:divBdr>
            <w:top w:val="none" w:sz="0" w:space="0" w:color="auto"/>
            <w:left w:val="none" w:sz="0" w:space="0" w:color="auto"/>
            <w:bottom w:val="none" w:sz="0" w:space="0" w:color="auto"/>
            <w:right w:val="none" w:sz="0" w:space="0" w:color="auto"/>
          </w:divBdr>
        </w:div>
        <w:div w:id="695740401">
          <w:marLeft w:val="0"/>
          <w:marRight w:val="0"/>
          <w:marTop w:val="0"/>
          <w:marBottom w:val="0"/>
          <w:divBdr>
            <w:top w:val="none" w:sz="0" w:space="0" w:color="auto"/>
            <w:left w:val="none" w:sz="0" w:space="0" w:color="auto"/>
            <w:bottom w:val="none" w:sz="0" w:space="0" w:color="auto"/>
            <w:right w:val="none" w:sz="0" w:space="0" w:color="auto"/>
          </w:divBdr>
        </w:div>
        <w:div w:id="707920916">
          <w:marLeft w:val="0"/>
          <w:marRight w:val="0"/>
          <w:marTop w:val="0"/>
          <w:marBottom w:val="0"/>
          <w:divBdr>
            <w:top w:val="none" w:sz="0" w:space="0" w:color="auto"/>
            <w:left w:val="none" w:sz="0" w:space="0" w:color="auto"/>
            <w:bottom w:val="none" w:sz="0" w:space="0" w:color="auto"/>
            <w:right w:val="none" w:sz="0" w:space="0" w:color="auto"/>
          </w:divBdr>
        </w:div>
        <w:div w:id="722867049">
          <w:marLeft w:val="0"/>
          <w:marRight w:val="0"/>
          <w:marTop w:val="0"/>
          <w:marBottom w:val="0"/>
          <w:divBdr>
            <w:top w:val="none" w:sz="0" w:space="0" w:color="auto"/>
            <w:left w:val="none" w:sz="0" w:space="0" w:color="auto"/>
            <w:bottom w:val="none" w:sz="0" w:space="0" w:color="auto"/>
            <w:right w:val="none" w:sz="0" w:space="0" w:color="auto"/>
          </w:divBdr>
        </w:div>
        <w:div w:id="749353096">
          <w:marLeft w:val="0"/>
          <w:marRight w:val="0"/>
          <w:marTop w:val="0"/>
          <w:marBottom w:val="0"/>
          <w:divBdr>
            <w:top w:val="none" w:sz="0" w:space="0" w:color="auto"/>
            <w:left w:val="none" w:sz="0" w:space="0" w:color="auto"/>
            <w:bottom w:val="none" w:sz="0" w:space="0" w:color="auto"/>
            <w:right w:val="none" w:sz="0" w:space="0" w:color="auto"/>
          </w:divBdr>
        </w:div>
        <w:div w:id="750583941">
          <w:marLeft w:val="0"/>
          <w:marRight w:val="0"/>
          <w:marTop w:val="0"/>
          <w:marBottom w:val="0"/>
          <w:divBdr>
            <w:top w:val="none" w:sz="0" w:space="0" w:color="auto"/>
            <w:left w:val="none" w:sz="0" w:space="0" w:color="auto"/>
            <w:bottom w:val="none" w:sz="0" w:space="0" w:color="auto"/>
            <w:right w:val="none" w:sz="0" w:space="0" w:color="auto"/>
          </w:divBdr>
        </w:div>
        <w:div w:id="751896080">
          <w:marLeft w:val="0"/>
          <w:marRight w:val="0"/>
          <w:marTop w:val="0"/>
          <w:marBottom w:val="0"/>
          <w:divBdr>
            <w:top w:val="none" w:sz="0" w:space="0" w:color="auto"/>
            <w:left w:val="none" w:sz="0" w:space="0" w:color="auto"/>
            <w:bottom w:val="none" w:sz="0" w:space="0" w:color="auto"/>
            <w:right w:val="none" w:sz="0" w:space="0" w:color="auto"/>
          </w:divBdr>
        </w:div>
        <w:div w:id="753212323">
          <w:marLeft w:val="0"/>
          <w:marRight w:val="0"/>
          <w:marTop w:val="0"/>
          <w:marBottom w:val="0"/>
          <w:divBdr>
            <w:top w:val="none" w:sz="0" w:space="0" w:color="auto"/>
            <w:left w:val="none" w:sz="0" w:space="0" w:color="auto"/>
            <w:bottom w:val="none" w:sz="0" w:space="0" w:color="auto"/>
            <w:right w:val="none" w:sz="0" w:space="0" w:color="auto"/>
          </w:divBdr>
        </w:div>
        <w:div w:id="764957269">
          <w:marLeft w:val="0"/>
          <w:marRight w:val="0"/>
          <w:marTop w:val="0"/>
          <w:marBottom w:val="0"/>
          <w:divBdr>
            <w:top w:val="none" w:sz="0" w:space="0" w:color="auto"/>
            <w:left w:val="none" w:sz="0" w:space="0" w:color="auto"/>
            <w:bottom w:val="none" w:sz="0" w:space="0" w:color="auto"/>
            <w:right w:val="none" w:sz="0" w:space="0" w:color="auto"/>
          </w:divBdr>
        </w:div>
        <w:div w:id="782728457">
          <w:marLeft w:val="0"/>
          <w:marRight w:val="0"/>
          <w:marTop w:val="0"/>
          <w:marBottom w:val="0"/>
          <w:divBdr>
            <w:top w:val="none" w:sz="0" w:space="0" w:color="auto"/>
            <w:left w:val="none" w:sz="0" w:space="0" w:color="auto"/>
            <w:bottom w:val="none" w:sz="0" w:space="0" w:color="auto"/>
            <w:right w:val="none" w:sz="0" w:space="0" w:color="auto"/>
          </w:divBdr>
        </w:div>
        <w:div w:id="788934656">
          <w:marLeft w:val="0"/>
          <w:marRight w:val="0"/>
          <w:marTop w:val="0"/>
          <w:marBottom w:val="0"/>
          <w:divBdr>
            <w:top w:val="none" w:sz="0" w:space="0" w:color="auto"/>
            <w:left w:val="none" w:sz="0" w:space="0" w:color="auto"/>
            <w:bottom w:val="none" w:sz="0" w:space="0" w:color="auto"/>
            <w:right w:val="none" w:sz="0" w:space="0" w:color="auto"/>
          </w:divBdr>
        </w:div>
        <w:div w:id="789477459">
          <w:marLeft w:val="0"/>
          <w:marRight w:val="0"/>
          <w:marTop w:val="0"/>
          <w:marBottom w:val="0"/>
          <w:divBdr>
            <w:top w:val="none" w:sz="0" w:space="0" w:color="auto"/>
            <w:left w:val="none" w:sz="0" w:space="0" w:color="auto"/>
            <w:bottom w:val="none" w:sz="0" w:space="0" w:color="auto"/>
            <w:right w:val="none" w:sz="0" w:space="0" w:color="auto"/>
          </w:divBdr>
        </w:div>
        <w:div w:id="798451959">
          <w:marLeft w:val="0"/>
          <w:marRight w:val="0"/>
          <w:marTop w:val="0"/>
          <w:marBottom w:val="0"/>
          <w:divBdr>
            <w:top w:val="none" w:sz="0" w:space="0" w:color="auto"/>
            <w:left w:val="none" w:sz="0" w:space="0" w:color="auto"/>
            <w:bottom w:val="none" w:sz="0" w:space="0" w:color="auto"/>
            <w:right w:val="none" w:sz="0" w:space="0" w:color="auto"/>
          </w:divBdr>
        </w:div>
        <w:div w:id="803695232">
          <w:marLeft w:val="0"/>
          <w:marRight w:val="0"/>
          <w:marTop w:val="0"/>
          <w:marBottom w:val="0"/>
          <w:divBdr>
            <w:top w:val="none" w:sz="0" w:space="0" w:color="auto"/>
            <w:left w:val="none" w:sz="0" w:space="0" w:color="auto"/>
            <w:bottom w:val="none" w:sz="0" w:space="0" w:color="auto"/>
            <w:right w:val="none" w:sz="0" w:space="0" w:color="auto"/>
          </w:divBdr>
        </w:div>
        <w:div w:id="815296588">
          <w:marLeft w:val="0"/>
          <w:marRight w:val="0"/>
          <w:marTop w:val="0"/>
          <w:marBottom w:val="0"/>
          <w:divBdr>
            <w:top w:val="none" w:sz="0" w:space="0" w:color="auto"/>
            <w:left w:val="none" w:sz="0" w:space="0" w:color="auto"/>
            <w:bottom w:val="none" w:sz="0" w:space="0" w:color="auto"/>
            <w:right w:val="none" w:sz="0" w:space="0" w:color="auto"/>
          </w:divBdr>
        </w:div>
        <w:div w:id="831217244">
          <w:marLeft w:val="0"/>
          <w:marRight w:val="0"/>
          <w:marTop w:val="0"/>
          <w:marBottom w:val="0"/>
          <w:divBdr>
            <w:top w:val="none" w:sz="0" w:space="0" w:color="auto"/>
            <w:left w:val="none" w:sz="0" w:space="0" w:color="auto"/>
            <w:bottom w:val="none" w:sz="0" w:space="0" w:color="auto"/>
            <w:right w:val="none" w:sz="0" w:space="0" w:color="auto"/>
          </w:divBdr>
        </w:div>
        <w:div w:id="837229823">
          <w:marLeft w:val="0"/>
          <w:marRight w:val="0"/>
          <w:marTop w:val="0"/>
          <w:marBottom w:val="0"/>
          <w:divBdr>
            <w:top w:val="none" w:sz="0" w:space="0" w:color="auto"/>
            <w:left w:val="none" w:sz="0" w:space="0" w:color="auto"/>
            <w:bottom w:val="none" w:sz="0" w:space="0" w:color="auto"/>
            <w:right w:val="none" w:sz="0" w:space="0" w:color="auto"/>
          </w:divBdr>
        </w:div>
        <w:div w:id="845441322">
          <w:marLeft w:val="0"/>
          <w:marRight w:val="0"/>
          <w:marTop w:val="0"/>
          <w:marBottom w:val="0"/>
          <w:divBdr>
            <w:top w:val="none" w:sz="0" w:space="0" w:color="auto"/>
            <w:left w:val="none" w:sz="0" w:space="0" w:color="auto"/>
            <w:bottom w:val="none" w:sz="0" w:space="0" w:color="auto"/>
            <w:right w:val="none" w:sz="0" w:space="0" w:color="auto"/>
          </w:divBdr>
        </w:div>
        <w:div w:id="866795302">
          <w:marLeft w:val="0"/>
          <w:marRight w:val="0"/>
          <w:marTop w:val="0"/>
          <w:marBottom w:val="0"/>
          <w:divBdr>
            <w:top w:val="none" w:sz="0" w:space="0" w:color="auto"/>
            <w:left w:val="none" w:sz="0" w:space="0" w:color="auto"/>
            <w:bottom w:val="none" w:sz="0" w:space="0" w:color="auto"/>
            <w:right w:val="none" w:sz="0" w:space="0" w:color="auto"/>
          </w:divBdr>
        </w:div>
        <w:div w:id="895581857">
          <w:marLeft w:val="0"/>
          <w:marRight w:val="0"/>
          <w:marTop w:val="0"/>
          <w:marBottom w:val="0"/>
          <w:divBdr>
            <w:top w:val="none" w:sz="0" w:space="0" w:color="auto"/>
            <w:left w:val="none" w:sz="0" w:space="0" w:color="auto"/>
            <w:bottom w:val="none" w:sz="0" w:space="0" w:color="auto"/>
            <w:right w:val="none" w:sz="0" w:space="0" w:color="auto"/>
          </w:divBdr>
        </w:div>
        <w:div w:id="938609947">
          <w:marLeft w:val="0"/>
          <w:marRight w:val="0"/>
          <w:marTop w:val="0"/>
          <w:marBottom w:val="0"/>
          <w:divBdr>
            <w:top w:val="none" w:sz="0" w:space="0" w:color="auto"/>
            <w:left w:val="none" w:sz="0" w:space="0" w:color="auto"/>
            <w:bottom w:val="none" w:sz="0" w:space="0" w:color="auto"/>
            <w:right w:val="none" w:sz="0" w:space="0" w:color="auto"/>
          </w:divBdr>
        </w:div>
        <w:div w:id="996306233">
          <w:marLeft w:val="0"/>
          <w:marRight w:val="0"/>
          <w:marTop w:val="0"/>
          <w:marBottom w:val="0"/>
          <w:divBdr>
            <w:top w:val="none" w:sz="0" w:space="0" w:color="auto"/>
            <w:left w:val="none" w:sz="0" w:space="0" w:color="auto"/>
            <w:bottom w:val="none" w:sz="0" w:space="0" w:color="auto"/>
            <w:right w:val="none" w:sz="0" w:space="0" w:color="auto"/>
          </w:divBdr>
        </w:div>
        <w:div w:id="1024944039">
          <w:marLeft w:val="0"/>
          <w:marRight w:val="0"/>
          <w:marTop w:val="0"/>
          <w:marBottom w:val="0"/>
          <w:divBdr>
            <w:top w:val="none" w:sz="0" w:space="0" w:color="auto"/>
            <w:left w:val="none" w:sz="0" w:space="0" w:color="auto"/>
            <w:bottom w:val="none" w:sz="0" w:space="0" w:color="auto"/>
            <w:right w:val="none" w:sz="0" w:space="0" w:color="auto"/>
          </w:divBdr>
        </w:div>
        <w:div w:id="1026718241">
          <w:marLeft w:val="0"/>
          <w:marRight w:val="0"/>
          <w:marTop w:val="0"/>
          <w:marBottom w:val="0"/>
          <w:divBdr>
            <w:top w:val="none" w:sz="0" w:space="0" w:color="auto"/>
            <w:left w:val="none" w:sz="0" w:space="0" w:color="auto"/>
            <w:bottom w:val="none" w:sz="0" w:space="0" w:color="auto"/>
            <w:right w:val="none" w:sz="0" w:space="0" w:color="auto"/>
          </w:divBdr>
        </w:div>
        <w:div w:id="1029255904">
          <w:marLeft w:val="0"/>
          <w:marRight w:val="0"/>
          <w:marTop w:val="0"/>
          <w:marBottom w:val="0"/>
          <w:divBdr>
            <w:top w:val="none" w:sz="0" w:space="0" w:color="auto"/>
            <w:left w:val="none" w:sz="0" w:space="0" w:color="auto"/>
            <w:bottom w:val="none" w:sz="0" w:space="0" w:color="auto"/>
            <w:right w:val="none" w:sz="0" w:space="0" w:color="auto"/>
          </w:divBdr>
        </w:div>
        <w:div w:id="1033968861">
          <w:marLeft w:val="0"/>
          <w:marRight w:val="0"/>
          <w:marTop w:val="0"/>
          <w:marBottom w:val="0"/>
          <w:divBdr>
            <w:top w:val="none" w:sz="0" w:space="0" w:color="auto"/>
            <w:left w:val="none" w:sz="0" w:space="0" w:color="auto"/>
            <w:bottom w:val="none" w:sz="0" w:space="0" w:color="auto"/>
            <w:right w:val="none" w:sz="0" w:space="0" w:color="auto"/>
          </w:divBdr>
        </w:div>
        <w:div w:id="1050494886">
          <w:marLeft w:val="0"/>
          <w:marRight w:val="0"/>
          <w:marTop w:val="0"/>
          <w:marBottom w:val="0"/>
          <w:divBdr>
            <w:top w:val="none" w:sz="0" w:space="0" w:color="auto"/>
            <w:left w:val="none" w:sz="0" w:space="0" w:color="auto"/>
            <w:bottom w:val="none" w:sz="0" w:space="0" w:color="auto"/>
            <w:right w:val="none" w:sz="0" w:space="0" w:color="auto"/>
          </w:divBdr>
        </w:div>
        <w:div w:id="1050571976">
          <w:marLeft w:val="0"/>
          <w:marRight w:val="0"/>
          <w:marTop w:val="0"/>
          <w:marBottom w:val="0"/>
          <w:divBdr>
            <w:top w:val="none" w:sz="0" w:space="0" w:color="auto"/>
            <w:left w:val="none" w:sz="0" w:space="0" w:color="auto"/>
            <w:bottom w:val="none" w:sz="0" w:space="0" w:color="auto"/>
            <w:right w:val="none" w:sz="0" w:space="0" w:color="auto"/>
          </w:divBdr>
        </w:div>
        <w:div w:id="1071541237">
          <w:marLeft w:val="0"/>
          <w:marRight w:val="0"/>
          <w:marTop w:val="0"/>
          <w:marBottom w:val="0"/>
          <w:divBdr>
            <w:top w:val="none" w:sz="0" w:space="0" w:color="auto"/>
            <w:left w:val="none" w:sz="0" w:space="0" w:color="auto"/>
            <w:bottom w:val="none" w:sz="0" w:space="0" w:color="auto"/>
            <w:right w:val="none" w:sz="0" w:space="0" w:color="auto"/>
          </w:divBdr>
        </w:div>
        <w:div w:id="1074934554">
          <w:marLeft w:val="0"/>
          <w:marRight w:val="0"/>
          <w:marTop w:val="0"/>
          <w:marBottom w:val="0"/>
          <w:divBdr>
            <w:top w:val="none" w:sz="0" w:space="0" w:color="auto"/>
            <w:left w:val="none" w:sz="0" w:space="0" w:color="auto"/>
            <w:bottom w:val="none" w:sz="0" w:space="0" w:color="auto"/>
            <w:right w:val="none" w:sz="0" w:space="0" w:color="auto"/>
          </w:divBdr>
        </w:div>
        <w:div w:id="1077434266">
          <w:marLeft w:val="0"/>
          <w:marRight w:val="0"/>
          <w:marTop w:val="0"/>
          <w:marBottom w:val="0"/>
          <w:divBdr>
            <w:top w:val="none" w:sz="0" w:space="0" w:color="auto"/>
            <w:left w:val="none" w:sz="0" w:space="0" w:color="auto"/>
            <w:bottom w:val="none" w:sz="0" w:space="0" w:color="auto"/>
            <w:right w:val="none" w:sz="0" w:space="0" w:color="auto"/>
          </w:divBdr>
        </w:div>
        <w:div w:id="1079520248">
          <w:marLeft w:val="0"/>
          <w:marRight w:val="0"/>
          <w:marTop w:val="0"/>
          <w:marBottom w:val="0"/>
          <w:divBdr>
            <w:top w:val="none" w:sz="0" w:space="0" w:color="auto"/>
            <w:left w:val="none" w:sz="0" w:space="0" w:color="auto"/>
            <w:bottom w:val="none" w:sz="0" w:space="0" w:color="auto"/>
            <w:right w:val="none" w:sz="0" w:space="0" w:color="auto"/>
          </w:divBdr>
        </w:div>
        <w:div w:id="1085684188">
          <w:marLeft w:val="0"/>
          <w:marRight w:val="0"/>
          <w:marTop w:val="0"/>
          <w:marBottom w:val="0"/>
          <w:divBdr>
            <w:top w:val="none" w:sz="0" w:space="0" w:color="auto"/>
            <w:left w:val="none" w:sz="0" w:space="0" w:color="auto"/>
            <w:bottom w:val="none" w:sz="0" w:space="0" w:color="auto"/>
            <w:right w:val="none" w:sz="0" w:space="0" w:color="auto"/>
          </w:divBdr>
        </w:div>
        <w:div w:id="1116951858">
          <w:marLeft w:val="0"/>
          <w:marRight w:val="0"/>
          <w:marTop w:val="0"/>
          <w:marBottom w:val="0"/>
          <w:divBdr>
            <w:top w:val="none" w:sz="0" w:space="0" w:color="auto"/>
            <w:left w:val="none" w:sz="0" w:space="0" w:color="auto"/>
            <w:bottom w:val="none" w:sz="0" w:space="0" w:color="auto"/>
            <w:right w:val="none" w:sz="0" w:space="0" w:color="auto"/>
          </w:divBdr>
        </w:div>
        <w:div w:id="1136870576">
          <w:marLeft w:val="0"/>
          <w:marRight w:val="0"/>
          <w:marTop w:val="0"/>
          <w:marBottom w:val="0"/>
          <w:divBdr>
            <w:top w:val="none" w:sz="0" w:space="0" w:color="auto"/>
            <w:left w:val="none" w:sz="0" w:space="0" w:color="auto"/>
            <w:bottom w:val="none" w:sz="0" w:space="0" w:color="auto"/>
            <w:right w:val="none" w:sz="0" w:space="0" w:color="auto"/>
          </w:divBdr>
        </w:div>
        <w:div w:id="1141769663">
          <w:marLeft w:val="0"/>
          <w:marRight w:val="0"/>
          <w:marTop w:val="0"/>
          <w:marBottom w:val="0"/>
          <w:divBdr>
            <w:top w:val="none" w:sz="0" w:space="0" w:color="auto"/>
            <w:left w:val="none" w:sz="0" w:space="0" w:color="auto"/>
            <w:bottom w:val="none" w:sz="0" w:space="0" w:color="auto"/>
            <w:right w:val="none" w:sz="0" w:space="0" w:color="auto"/>
          </w:divBdr>
        </w:div>
        <w:div w:id="1149860560">
          <w:marLeft w:val="0"/>
          <w:marRight w:val="0"/>
          <w:marTop w:val="0"/>
          <w:marBottom w:val="0"/>
          <w:divBdr>
            <w:top w:val="none" w:sz="0" w:space="0" w:color="auto"/>
            <w:left w:val="none" w:sz="0" w:space="0" w:color="auto"/>
            <w:bottom w:val="none" w:sz="0" w:space="0" w:color="auto"/>
            <w:right w:val="none" w:sz="0" w:space="0" w:color="auto"/>
          </w:divBdr>
        </w:div>
        <w:div w:id="1151023975">
          <w:marLeft w:val="0"/>
          <w:marRight w:val="0"/>
          <w:marTop w:val="0"/>
          <w:marBottom w:val="0"/>
          <w:divBdr>
            <w:top w:val="none" w:sz="0" w:space="0" w:color="auto"/>
            <w:left w:val="none" w:sz="0" w:space="0" w:color="auto"/>
            <w:bottom w:val="none" w:sz="0" w:space="0" w:color="auto"/>
            <w:right w:val="none" w:sz="0" w:space="0" w:color="auto"/>
          </w:divBdr>
        </w:div>
        <w:div w:id="1169827858">
          <w:marLeft w:val="0"/>
          <w:marRight w:val="0"/>
          <w:marTop w:val="0"/>
          <w:marBottom w:val="0"/>
          <w:divBdr>
            <w:top w:val="none" w:sz="0" w:space="0" w:color="auto"/>
            <w:left w:val="none" w:sz="0" w:space="0" w:color="auto"/>
            <w:bottom w:val="none" w:sz="0" w:space="0" w:color="auto"/>
            <w:right w:val="none" w:sz="0" w:space="0" w:color="auto"/>
          </w:divBdr>
        </w:div>
        <w:div w:id="1176727284">
          <w:marLeft w:val="0"/>
          <w:marRight w:val="0"/>
          <w:marTop w:val="0"/>
          <w:marBottom w:val="0"/>
          <w:divBdr>
            <w:top w:val="none" w:sz="0" w:space="0" w:color="auto"/>
            <w:left w:val="none" w:sz="0" w:space="0" w:color="auto"/>
            <w:bottom w:val="none" w:sz="0" w:space="0" w:color="auto"/>
            <w:right w:val="none" w:sz="0" w:space="0" w:color="auto"/>
          </w:divBdr>
        </w:div>
        <w:div w:id="1181549180">
          <w:marLeft w:val="0"/>
          <w:marRight w:val="0"/>
          <w:marTop w:val="0"/>
          <w:marBottom w:val="0"/>
          <w:divBdr>
            <w:top w:val="none" w:sz="0" w:space="0" w:color="auto"/>
            <w:left w:val="none" w:sz="0" w:space="0" w:color="auto"/>
            <w:bottom w:val="none" w:sz="0" w:space="0" w:color="auto"/>
            <w:right w:val="none" w:sz="0" w:space="0" w:color="auto"/>
          </w:divBdr>
        </w:div>
        <w:div w:id="1182429208">
          <w:marLeft w:val="0"/>
          <w:marRight w:val="0"/>
          <w:marTop w:val="0"/>
          <w:marBottom w:val="0"/>
          <w:divBdr>
            <w:top w:val="none" w:sz="0" w:space="0" w:color="auto"/>
            <w:left w:val="none" w:sz="0" w:space="0" w:color="auto"/>
            <w:bottom w:val="none" w:sz="0" w:space="0" w:color="auto"/>
            <w:right w:val="none" w:sz="0" w:space="0" w:color="auto"/>
          </w:divBdr>
        </w:div>
        <w:div w:id="1192570759">
          <w:marLeft w:val="0"/>
          <w:marRight w:val="0"/>
          <w:marTop w:val="0"/>
          <w:marBottom w:val="0"/>
          <w:divBdr>
            <w:top w:val="none" w:sz="0" w:space="0" w:color="auto"/>
            <w:left w:val="none" w:sz="0" w:space="0" w:color="auto"/>
            <w:bottom w:val="none" w:sz="0" w:space="0" w:color="auto"/>
            <w:right w:val="none" w:sz="0" w:space="0" w:color="auto"/>
          </w:divBdr>
        </w:div>
        <w:div w:id="1206992722">
          <w:marLeft w:val="0"/>
          <w:marRight w:val="0"/>
          <w:marTop w:val="0"/>
          <w:marBottom w:val="0"/>
          <w:divBdr>
            <w:top w:val="none" w:sz="0" w:space="0" w:color="auto"/>
            <w:left w:val="none" w:sz="0" w:space="0" w:color="auto"/>
            <w:bottom w:val="none" w:sz="0" w:space="0" w:color="auto"/>
            <w:right w:val="none" w:sz="0" w:space="0" w:color="auto"/>
          </w:divBdr>
        </w:div>
        <w:div w:id="1215890644">
          <w:marLeft w:val="0"/>
          <w:marRight w:val="0"/>
          <w:marTop w:val="0"/>
          <w:marBottom w:val="0"/>
          <w:divBdr>
            <w:top w:val="none" w:sz="0" w:space="0" w:color="auto"/>
            <w:left w:val="none" w:sz="0" w:space="0" w:color="auto"/>
            <w:bottom w:val="none" w:sz="0" w:space="0" w:color="auto"/>
            <w:right w:val="none" w:sz="0" w:space="0" w:color="auto"/>
          </w:divBdr>
        </w:div>
        <w:div w:id="1229727825">
          <w:marLeft w:val="0"/>
          <w:marRight w:val="0"/>
          <w:marTop w:val="0"/>
          <w:marBottom w:val="0"/>
          <w:divBdr>
            <w:top w:val="none" w:sz="0" w:space="0" w:color="auto"/>
            <w:left w:val="none" w:sz="0" w:space="0" w:color="auto"/>
            <w:bottom w:val="none" w:sz="0" w:space="0" w:color="auto"/>
            <w:right w:val="none" w:sz="0" w:space="0" w:color="auto"/>
          </w:divBdr>
        </w:div>
        <w:div w:id="1239246055">
          <w:marLeft w:val="0"/>
          <w:marRight w:val="0"/>
          <w:marTop w:val="0"/>
          <w:marBottom w:val="0"/>
          <w:divBdr>
            <w:top w:val="none" w:sz="0" w:space="0" w:color="auto"/>
            <w:left w:val="none" w:sz="0" w:space="0" w:color="auto"/>
            <w:bottom w:val="none" w:sz="0" w:space="0" w:color="auto"/>
            <w:right w:val="none" w:sz="0" w:space="0" w:color="auto"/>
          </w:divBdr>
        </w:div>
        <w:div w:id="1248929518">
          <w:marLeft w:val="0"/>
          <w:marRight w:val="0"/>
          <w:marTop w:val="0"/>
          <w:marBottom w:val="0"/>
          <w:divBdr>
            <w:top w:val="none" w:sz="0" w:space="0" w:color="auto"/>
            <w:left w:val="none" w:sz="0" w:space="0" w:color="auto"/>
            <w:bottom w:val="none" w:sz="0" w:space="0" w:color="auto"/>
            <w:right w:val="none" w:sz="0" w:space="0" w:color="auto"/>
          </w:divBdr>
        </w:div>
        <w:div w:id="1251888170">
          <w:marLeft w:val="0"/>
          <w:marRight w:val="0"/>
          <w:marTop w:val="0"/>
          <w:marBottom w:val="0"/>
          <w:divBdr>
            <w:top w:val="none" w:sz="0" w:space="0" w:color="auto"/>
            <w:left w:val="none" w:sz="0" w:space="0" w:color="auto"/>
            <w:bottom w:val="none" w:sz="0" w:space="0" w:color="auto"/>
            <w:right w:val="none" w:sz="0" w:space="0" w:color="auto"/>
          </w:divBdr>
        </w:div>
        <w:div w:id="1259603835">
          <w:marLeft w:val="0"/>
          <w:marRight w:val="0"/>
          <w:marTop w:val="0"/>
          <w:marBottom w:val="0"/>
          <w:divBdr>
            <w:top w:val="none" w:sz="0" w:space="0" w:color="auto"/>
            <w:left w:val="none" w:sz="0" w:space="0" w:color="auto"/>
            <w:bottom w:val="none" w:sz="0" w:space="0" w:color="auto"/>
            <w:right w:val="none" w:sz="0" w:space="0" w:color="auto"/>
          </w:divBdr>
        </w:div>
        <w:div w:id="1260139120">
          <w:marLeft w:val="0"/>
          <w:marRight w:val="0"/>
          <w:marTop w:val="0"/>
          <w:marBottom w:val="0"/>
          <w:divBdr>
            <w:top w:val="none" w:sz="0" w:space="0" w:color="auto"/>
            <w:left w:val="none" w:sz="0" w:space="0" w:color="auto"/>
            <w:bottom w:val="none" w:sz="0" w:space="0" w:color="auto"/>
            <w:right w:val="none" w:sz="0" w:space="0" w:color="auto"/>
          </w:divBdr>
        </w:div>
        <w:div w:id="1262832613">
          <w:marLeft w:val="0"/>
          <w:marRight w:val="0"/>
          <w:marTop w:val="0"/>
          <w:marBottom w:val="0"/>
          <w:divBdr>
            <w:top w:val="none" w:sz="0" w:space="0" w:color="auto"/>
            <w:left w:val="none" w:sz="0" w:space="0" w:color="auto"/>
            <w:bottom w:val="none" w:sz="0" w:space="0" w:color="auto"/>
            <w:right w:val="none" w:sz="0" w:space="0" w:color="auto"/>
          </w:divBdr>
        </w:div>
        <w:div w:id="1264653713">
          <w:marLeft w:val="0"/>
          <w:marRight w:val="0"/>
          <w:marTop w:val="0"/>
          <w:marBottom w:val="0"/>
          <w:divBdr>
            <w:top w:val="none" w:sz="0" w:space="0" w:color="auto"/>
            <w:left w:val="none" w:sz="0" w:space="0" w:color="auto"/>
            <w:bottom w:val="none" w:sz="0" w:space="0" w:color="auto"/>
            <w:right w:val="none" w:sz="0" w:space="0" w:color="auto"/>
          </w:divBdr>
        </w:div>
        <w:div w:id="1271546926">
          <w:marLeft w:val="0"/>
          <w:marRight w:val="0"/>
          <w:marTop w:val="0"/>
          <w:marBottom w:val="0"/>
          <w:divBdr>
            <w:top w:val="none" w:sz="0" w:space="0" w:color="auto"/>
            <w:left w:val="none" w:sz="0" w:space="0" w:color="auto"/>
            <w:bottom w:val="none" w:sz="0" w:space="0" w:color="auto"/>
            <w:right w:val="none" w:sz="0" w:space="0" w:color="auto"/>
          </w:divBdr>
        </w:div>
        <w:div w:id="1281838021">
          <w:marLeft w:val="0"/>
          <w:marRight w:val="0"/>
          <w:marTop w:val="0"/>
          <w:marBottom w:val="0"/>
          <w:divBdr>
            <w:top w:val="none" w:sz="0" w:space="0" w:color="auto"/>
            <w:left w:val="none" w:sz="0" w:space="0" w:color="auto"/>
            <w:bottom w:val="none" w:sz="0" w:space="0" w:color="auto"/>
            <w:right w:val="none" w:sz="0" w:space="0" w:color="auto"/>
          </w:divBdr>
        </w:div>
        <w:div w:id="1285699858">
          <w:marLeft w:val="0"/>
          <w:marRight w:val="0"/>
          <w:marTop w:val="0"/>
          <w:marBottom w:val="0"/>
          <w:divBdr>
            <w:top w:val="none" w:sz="0" w:space="0" w:color="auto"/>
            <w:left w:val="none" w:sz="0" w:space="0" w:color="auto"/>
            <w:bottom w:val="none" w:sz="0" w:space="0" w:color="auto"/>
            <w:right w:val="none" w:sz="0" w:space="0" w:color="auto"/>
          </w:divBdr>
        </w:div>
        <w:div w:id="1291133023">
          <w:marLeft w:val="0"/>
          <w:marRight w:val="0"/>
          <w:marTop w:val="0"/>
          <w:marBottom w:val="0"/>
          <w:divBdr>
            <w:top w:val="none" w:sz="0" w:space="0" w:color="auto"/>
            <w:left w:val="none" w:sz="0" w:space="0" w:color="auto"/>
            <w:bottom w:val="none" w:sz="0" w:space="0" w:color="auto"/>
            <w:right w:val="none" w:sz="0" w:space="0" w:color="auto"/>
          </w:divBdr>
        </w:div>
        <w:div w:id="1295989429">
          <w:marLeft w:val="0"/>
          <w:marRight w:val="0"/>
          <w:marTop w:val="0"/>
          <w:marBottom w:val="0"/>
          <w:divBdr>
            <w:top w:val="none" w:sz="0" w:space="0" w:color="auto"/>
            <w:left w:val="none" w:sz="0" w:space="0" w:color="auto"/>
            <w:bottom w:val="none" w:sz="0" w:space="0" w:color="auto"/>
            <w:right w:val="none" w:sz="0" w:space="0" w:color="auto"/>
          </w:divBdr>
        </w:div>
        <w:div w:id="1302803048">
          <w:marLeft w:val="0"/>
          <w:marRight w:val="0"/>
          <w:marTop w:val="0"/>
          <w:marBottom w:val="0"/>
          <w:divBdr>
            <w:top w:val="none" w:sz="0" w:space="0" w:color="auto"/>
            <w:left w:val="none" w:sz="0" w:space="0" w:color="auto"/>
            <w:bottom w:val="none" w:sz="0" w:space="0" w:color="auto"/>
            <w:right w:val="none" w:sz="0" w:space="0" w:color="auto"/>
          </w:divBdr>
        </w:div>
        <w:div w:id="1305888448">
          <w:marLeft w:val="0"/>
          <w:marRight w:val="0"/>
          <w:marTop w:val="0"/>
          <w:marBottom w:val="0"/>
          <w:divBdr>
            <w:top w:val="none" w:sz="0" w:space="0" w:color="auto"/>
            <w:left w:val="none" w:sz="0" w:space="0" w:color="auto"/>
            <w:bottom w:val="none" w:sz="0" w:space="0" w:color="auto"/>
            <w:right w:val="none" w:sz="0" w:space="0" w:color="auto"/>
          </w:divBdr>
        </w:div>
        <w:div w:id="1390692855">
          <w:marLeft w:val="0"/>
          <w:marRight w:val="0"/>
          <w:marTop w:val="0"/>
          <w:marBottom w:val="0"/>
          <w:divBdr>
            <w:top w:val="none" w:sz="0" w:space="0" w:color="auto"/>
            <w:left w:val="none" w:sz="0" w:space="0" w:color="auto"/>
            <w:bottom w:val="none" w:sz="0" w:space="0" w:color="auto"/>
            <w:right w:val="none" w:sz="0" w:space="0" w:color="auto"/>
          </w:divBdr>
        </w:div>
        <w:div w:id="1394622191">
          <w:marLeft w:val="0"/>
          <w:marRight w:val="0"/>
          <w:marTop w:val="0"/>
          <w:marBottom w:val="0"/>
          <w:divBdr>
            <w:top w:val="none" w:sz="0" w:space="0" w:color="auto"/>
            <w:left w:val="none" w:sz="0" w:space="0" w:color="auto"/>
            <w:bottom w:val="none" w:sz="0" w:space="0" w:color="auto"/>
            <w:right w:val="none" w:sz="0" w:space="0" w:color="auto"/>
          </w:divBdr>
        </w:div>
        <w:div w:id="1397049815">
          <w:marLeft w:val="0"/>
          <w:marRight w:val="0"/>
          <w:marTop w:val="0"/>
          <w:marBottom w:val="0"/>
          <w:divBdr>
            <w:top w:val="none" w:sz="0" w:space="0" w:color="auto"/>
            <w:left w:val="none" w:sz="0" w:space="0" w:color="auto"/>
            <w:bottom w:val="none" w:sz="0" w:space="0" w:color="auto"/>
            <w:right w:val="none" w:sz="0" w:space="0" w:color="auto"/>
          </w:divBdr>
        </w:div>
        <w:div w:id="1409113274">
          <w:marLeft w:val="0"/>
          <w:marRight w:val="0"/>
          <w:marTop w:val="0"/>
          <w:marBottom w:val="0"/>
          <w:divBdr>
            <w:top w:val="none" w:sz="0" w:space="0" w:color="auto"/>
            <w:left w:val="none" w:sz="0" w:space="0" w:color="auto"/>
            <w:bottom w:val="none" w:sz="0" w:space="0" w:color="auto"/>
            <w:right w:val="none" w:sz="0" w:space="0" w:color="auto"/>
          </w:divBdr>
        </w:div>
        <w:div w:id="1412239003">
          <w:marLeft w:val="0"/>
          <w:marRight w:val="0"/>
          <w:marTop w:val="0"/>
          <w:marBottom w:val="0"/>
          <w:divBdr>
            <w:top w:val="none" w:sz="0" w:space="0" w:color="auto"/>
            <w:left w:val="none" w:sz="0" w:space="0" w:color="auto"/>
            <w:bottom w:val="none" w:sz="0" w:space="0" w:color="auto"/>
            <w:right w:val="none" w:sz="0" w:space="0" w:color="auto"/>
          </w:divBdr>
        </w:div>
        <w:div w:id="1413089215">
          <w:marLeft w:val="0"/>
          <w:marRight w:val="0"/>
          <w:marTop w:val="0"/>
          <w:marBottom w:val="0"/>
          <w:divBdr>
            <w:top w:val="none" w:sz="0" w:space="0" w:color="auto"/>
            <w:left w:val="none" w:sz="0" w:space="0" w:color="auto"/>
            <w:bottom w:val="none" w:sz="0" w:space="0" w:color="auto"/>
            <w:right w:val="none" w:sz="0" w:space="0" w:color="auto"/>
          </w:divBdr>
        </w:div>
        <w:div w:id="1414426565">
          <w:marLeft w:val="0"/>
          <w:marRight w:val="0"/>
          <w:marTop w:val="0"/>
          <w:marBottom w:val="0"/>
          <w:divBdr>
            <w:top w:val="none" w:sz="0" w:space="0" w:color="auto"/>
            <w:left w:val="none" w:sz="0" w:space="0" w:color="auto"/>
            <w:bottom w:val="none" w:sz="0" w:space="0" w:color="auto"/>
            <w:right w:val="none" w:sz="0" w:space="0" w:color="auto"/>
          </w:divBdr>
        </w:div>
        <w:div w:id="1423336574">
          <w:marLeft w:val="0"/>
          <w:marRight w:val="0"/>
          <w:marTop w:val="0"/>
          <w:marBottom w:val="0"/>
          <w:divBdr>
            <w:top w:val="none" w:sz="0" w:space="0" w:color="auto"/>
            <w:left w:val="none" w:sz="0" w:space="0" w:color="auto"/>
            <w:bottom w:val="none" w:sz="0" w:space="0" w:color="auto"/>
            <w:right w:val="none" w:sz="0" w:space="0" w:color="auto"/>
          </w:divBdr>
        </w:div>
        <w:div w:id="1460218237">
          <w:marLeft w:val="0"/>
          <w:marRight w:val="0"/>
          <w:marTop w:val="0"/>
          <w:marBottom w:val="0"/>
          <w:divBdr>
            <w:top w:val="none" w:sz="0" w:space="0" w:color="auto"/>
            <w:left w:val="none" w:sz="0" w:space="0" w:color="auto"/>
            <w:bottom w:val="none" w:sz="0" w:space="0" w:color="auto"/>
            <w:right w:val="none" w:sz="0" w:space="0" w:color="auto"/>
          </w:divBdr>
        </w:div>
        <w:div w:id="1467313635">
          <w:marLeft w:val="0"/>
          <w:marRight w:val="0"/>
          <w:marTop w:val="0"/>
          <w:marBottom w:val="0"/>
          <w:divBdr>
            <w:top w:val="none" w:sz="0" w:space="0" w:color="auto"/>
            <w:left w:val="none" w:sz="0" w:space="0" w:color="auto"/>
            <w:bottom w:val="none" w:sz="0" w:space="0" w:color="auto"/>
            <w:right w:val="none" w:sz="0" w:space="0" w:color="auto"/>
          </w:divBdr>
        </w:div>
        <w:div w:id="1471288507">
          <w:marLeft w:val="0"/>
          <w:marRight w:val="0"/>
          <w:marTop w:val="0"/>
          <w:marBottom w:val="0"/>
          <w:divBdr>
            <w:top w:val="none" w:sz="0" w:space="0" w:color="auto"/>
            <w:left w:val="none" w:sz="0" w:space="0" w:color="auto"/>
            <w:bottom w:val="none" w:sz="0" w:space="0" w:color="auto"/>
            <w:right w:val="none" w:sz="0" w:space="0" w:color="auto"/>
          </w:divBdr>
        </w:div>
        <w:div w:id="1471942983">
          <w:marLeft w:val="0"/>
          <w:marRight w:val="0"/>
          <w:marTop w:val="0"/>
          <w:marBottom w:val="0"/>
          <w:divBdr>
            <w:top w:val="none" w:sz="0" w:space="0" w:color="auto"/>
            <w:left w:val="none" w:sz="0" w:space="0" w:color="auto"/>
            <w:bottom w:val="none" w:sz="0" w:space="0" w:color="auto"/>
            <w:right w:val="none" w:sz="0" w:space="0" w:color="auto"/>
          </w:divBdr>
        </w:div>
        <w:div w:id="1493060873">
          <w:marLeft w:val="0"/>
          <w:marRight w:val="0"/>
          <w:marTop w:val="0"/>
          <w:marBottom w:val="0"/>
          <w:divBdr>
            <w:top w:val="none" w:sz="0" w:space="0" w:color="auto"/>
            <w:left w:val="none" w:sz="0" w:space="0" w:color="auto"/>
            <w:bottom w:val="none" w:sz="0" w:space="0" w:color="auto"/>
            <w:right w:val="none" w:sz="0" w:space="0" w:color="auto"/>
          </w:divBdr>
        </w:div>
        <w:div w:id="1512600292">
          <w:marLeft w:val="0"/>
          <w:marRight w:val="0"/>
          <w:marTop w:val="0"/>
          <w:marBottom w:val="0"/>
          <w:divBdr>
            <w:top w:val="none" w:sz="0" w:space="0" w:color="auto"/>
            <w:left w:val="none" w:sz="0" w:space="0" w:color="auto"/>
            <w:bottom w:val="none" w:sz="0" w:space="0" w:color="auto"/>
            <w:right w:val="none" w:sz="0" w:space="0" w:color="auto"/>
          </w:divBdr>
        </w:div>
        <w:div w:id="1515612085">
          <w:marLeft w:val="0"/>
          <w:marRight w:val="0"/>
          <w:marTop w:val="0"/>
          <w:marBottom w:val="0"/>
          <w:divBdr>
            <w:top w:val="none" w:sz="0" w:space="0" w:color="auto"/>
            <w:left w:val="none" w:sz="0" w:space="0" w:color="auto"/>
            <w:bottom w:val="none" w:sz="0" w:space="0" w:color="auto"/>
            <w:right w:val="none" w:sz="0" w:space="0" w:color="auto"/>
          </w:divBdr>
        </w:div>
        <w:div w:id="1516578716">
          <w:marLeft w:val="0"/>
          <w:marRight w:val="0"/>
          <w:marTop w:val="0"/>
          <w:marBottom w:val="0"/>
          <w:divBdr>
            <w:top w:val="none" w:sz="0" w:space="0" w:color="auto"/>
            <w:left w:val="none" w:sz="0" w:space="0" w:color="auto"/>
            <w:bottom w:val="none" w:sz="0" w:space="0" w:color="auto"/>
            <w:right w:val="none" w:sz="0" w:space="0" w:color="auto"/>
          </w:divBdr>
        </w:div>
        <w:div w:id="1523322612">
          <w:marLeft w:val="0"/>
          <w:marRight w:val="0"/>
          <w:marTop w:val="0"/>
          <w:marBottom w:val="0"/>
          <w:divBdr>
            <w:top w:val="none" w:sz="0" w:space="0" w:color="auto"/>
            <w:left w:val="none" w:sz="0" w:space="0" w:color="auto"/>
            <w:bottom w:val="none" w:sz="0" w:space="0" w:color="auto"/>
            <w:right w:val="none" w:sz="0" w:space="0" w:color="auto"/>
          </w:divBdr>
        </w:div>
        <w:div w:id="1525897103">
          <w:marLeft w:val="0"/>
          <w:marRight w:val="0"/>
          <w:marTop w:val="0"/>
          <w:marBottom w:val="0"/>
          <w:divBdr>
            <w:top w:val="none" w:sz="0" w:space="0" w:color="auto"/>
            <w:left w:val="none" w:sz="0" w:space="0" w:color="auto"/>
            <w:bottom w:val="none" w:sz="0" w:space="0" w:color="auto"/>
            <w:right w:val="none" w:sz="0" w:space="0" w:color="auto"/>
          </w:divBdr>
        </w:div>
        <w:div w:id="1528643773">
          <w:marLeft w:val="0"/>
          <w:marRight w:val="0"/>
          <w:marTop w:val="0"/>
          <w:marBottom w:val="0"/>
          <w:divBdr>
            <w:top w:val="none" w:sz="0" w:space="0" w:color="auto"/>
            <w:left w:val="none" w:sz="0" w:space="0" w:color="auto"/>
            <w:bottom w:val="none" w:sz="0" w:space="0" w:color="auto"/>
            <w:right w:val="none" w:sz="0" w:space="0" w:color="auto"/>
          </w:divBdr>
        </w:div>
        <w:div w:id="1542136450">
          <w:marLeft w:val="0"/>
          <w:marRight w:val="0"/>
          <w:marTop w:val="0"/>
          <w:marBottom w:val="0"/>
          <w:divBdr>
            <w:top w:val="none" w:sz="0" w:space="0" w:color="auto"/>
            <w:left w:val="none" w:sz="0" w:space="0" w:color="auto"/>
            <w:bottom w:val="none" w:sz="0" w:space="0" w:color="auto"/>
            <w:right w:val="none" w:sz="0" w:space="0" w:color="auto"/>
          </w:divBdr>
        </w:div>
        <w:div w:id="1546716316">
          <w:marLeft w:val="0"/>
          <w:marRight w:val="0"/>
          <w:marTop w:val="0"/>
          <w:marBottom w:val="0"/>
          <w:divBdr>
            <w:top w:val="none" w:sz="0" w:space="0" w:color="auto"/>
            <w:left w:val="none" w:sz="0" w:space="0" w:color="auto"/>
            <w:bottom w:val="none" w:sz="0" w:space="0" w:color="auto"/>
            <w:right w:val="none" w:sz="0" w:space="0" w:color="auto"/>
          </w:divBdr>
        </w:div>
        <w:div w:id="1579553057">
          <w:marLeft w:val="0"/>
          <w:marRight w:val="0"/>
          <w:marTop w:val="0"/>
          <w:marBottom w:val="0"/>
          <w:divBdr>
            <w:top w:val="none" w:sz="0" w:space="0" w:color="auto"/>
            <w:left w:val="none" w:sz="0" w:space="0" w:color="auto"/>
            <w:bottom w:val="none" w:sz="0" w:space="0" w:color="auto"/>
            <w:right w:val="none" w:sz="0" w:space="0" w:color="auto"/>
          </w:divBdr>
        </w:div>
        <w:div w:id="1582831064">
          <w:marLeft w:val="0"/>
          <w:marRight w:val="0"/>
          <w:marTop w:val="0"/>
          <w:marBottom w:val="0"/>
          <w:divBdr>
            <w:top w:val="none" w:sz="0" w:space="0" w:color="auto"/>
            <w:left w:val="none" w:sz="0" w:space="0" w:color="auto"/>
            <w:bottom w:val="none" w:sz="0" w:space="0" w:color="auto"/>
            <w:right w:val="none" w:sz="0" w:space="0" w:color="auto"/>
          </w:divBdr>
        </w:div>
        <w:div w:id="1588267666">
          <w:marLeft w:val="0"/>
          <w:marRight w:val="0"/>
          <w:marTop w:val="0"/>
          <w:marBottom w:val="0"/>
          <w:divBdr>
            <w:top w:val="none" w:sz="0" w:space="0" w:color="auto"/>
            <w:left w:val="none" w:sz="0" w:space="0" w:color="auto"/>
            <w:bottom w:val="none" w:sz="0" w:space="0" w:color="auto"/>
            <w:right w:val="none" w:sz="0" w:space="0" w:color="auto"/>
          </w:divBdr>
        </w:div>
        <w:div w:id="1589343232">
          <w:marLeft w:val="0"/>
          <w:marRight w:val="0"/>
          <w:marTop w:val="0"/>
          <w:marBottom w:val="0"/>
          <w:divBdr>
            <w:top w:val="none" w:sz="0" w:space="0" w:color="auto"/>
            <w:left w:val="none" w:sz="0" w:space="0" w:color="auto"/>
            <w:bottom w:val="none" w:sz="0" w:space="0" w:color="auto"/>
            <w:right w:val="none" w:sz="0" w:space="0" w:color="auto"/>
          </w:divBdr>
        </w:div>
        <w:div w:id="1591740179">
          <w:marLeft w:val="0"/>
          <w:marRight w:val="0"/>
          <w:marTop w:val="0"/>
          <w:marBottom w:val="0"/>
          <w:divBdr>
            <w:top w:val="none" w:sz="0" w:space="0" w:color="auto"/>
            <w:left w:val="none" w:sz="0" w:space="0" w:color="auto"/>
            <w:bottom w:val="none" w:sz="0" w:space="0" w:color="auto"/>
            <w:right w:val="none" w:sz="0" w:space="0" w:color="auto"/>
          </w:divBdr>
        </w:div>
        <w:div w:id="1592928029">
          <w:marLeft w:val="0"/>
          <w:marRight w:val="0"/>
          <w:marTop w:val="0"/>
          <w:marBottom w:val="0"/>
          <w:divBdr>
            <w:top w:val="none" w:sz="0" w:space="0" w:color="auto"/>
            <w:left w:val="none" w:sz="0" w:space="0" w:color="auto"/>
            <w:bottom w:val="none" w:sz="0" w:space="0" w:color="auto"/>
            <w:right w:val="none" w:sz="0" w:space="0" w:color="auto"/>
          </w:divBdr>
        </w:div>
        <w:div w:id="1601720601">
          <w:marLeft w:val="0"/>
          <w:marRight w:val="0"/>
          <w:marTop w:val="0"/>
          <w:marBottom w:val="0"/>
          <w:divBdr>
            <w:top w:val="none" w:sz="0" w:space="0" w:color="auto"/>
            <w:left w:val="none" w:sz="0" w:space="0" w:color="auto"/>
            <w:bottom w:val="none" w:sz="0" w:space="0" w:color="auto"/>
            <w:right w:val="none" w:sz="0" w:space="0" w:color="auto"/>
          </w:divBdr>
        </w:div>
        <w:div w:id="1606885158">
          <w:marLeft w:val="0"/>
          <w:marRight w:val="0"/>
          <w:marTop w:val="0"/>
          <w:marBottom w:val="0"/>
          <w:divBdr>
            <w:top w:val="none" w:sz="0" w:space="0" w:color="auto"/>
            <w:left w:val="none" w:sz="0" w:space="0" w:color="auto"/>
            <w:bottom w:val="none" w:sz="0" w:space="0" w:color="auto"/>
            <w:right w:val="none" w:sz="0" w:space="0" w:color="auto"/>
          </w:divBdr>
        </w:div>
        <w:div w:id="1616714933">
          <w:marLeft w:val="0"/>
          <w:marRight w:val="0"/>
          <w:marTop w:val="0"/>
          <w:marBottom w:val="0"/>
          <w:divBdr>
            <w:top w:val="none" w:sz="0" w:space="0" w:color="auto"/>
            <w:left w:val="none" w:sz="0" w:space="0" w:color="auto"/>
            <w:bottom w:val="none" w:sz="0" w:space="0" w:color="auto"/>
            <w:right w:val="none" w:sz="0" w:space="0" w:color="auto"/>
          </w:divBdr>
        </w:div>
        <w:div w:id="1619145577">
          <w:marLeft w:val="0"/>
          <w:marRight w:val="0"/>
          <w:marTop w:val="0"/>
          <w:marBottom w:val="0"/>
          <w:divBdr>
            <w:top w:val="none" w:sz="0" w:space="0" w:color="auto"/>
            <w:left w:val="none" w:sz="0" w:space="0" w:color="auto"/>
            <w:bottom w:val="none" w:sz="0" w:space="0" w:color="auto"/>
            <w:right w:val="none" w:sz="0" w:space="0" w:color="auto"/>
          </w:divBdr>
        </w:div>
        <w:div w:id="1622951813">
          <w:marLeft w:val="0"/>
          <w:marRight w:val="0"/>
          <w:marTop w:val="0"/>
          <w:marBottom w:val="0"/>
          <w:divBdr>
            <w:top w:val="none" w:sz="0" w:space="0" w:color="auto"/>
            <w:left w:val="none" w:sz="0" w:space="0" w:color="auto"/>
            <w:bottom w:val="none" w:sz="0" w:space="0" w:color="auto"/>
            <w:right w:val="none" w:sz="0" w:space="0" w:color="auto"/>
          </w:divBdr>
        </w:div>
        <w:div w:id="1625580889">
          <w:marLeft w:val="0"/>
          <w:marRight w:val="0"/>
          <w:marTop w:val="0"/>
          <w:marBottom w:val="0"/>
          <w:divBdr>
            <w:top w:val="none" w:sz="0" w:space="0" w:color="auto"/>
            <w:left w:val="none" w:sz="0" w:space="0" w:color="auto"/>
            <w:bottom w:val="none" w:sz="0" w:space="0" w:color="auto"/>
            <w:right w:val="none" w:sz="0" w:space="0" w:color="auto"/>
          </w:divBdr>
        </w:div>
        <w:div w:id="1626620234">
          <w:marLeft w:val="0"/>
          <w:marRight w:val="0"/>
          <w:marTop w:val="0"/>
          <w:marBottom w:val="0"/>
          <w:divBdr>
            <w:top w:val="none" w:sz="0" w:space="0" w:color="auto"/>
            <w:left w:val="none" w:sz="0" w:space="0" w:color="auto"/>
            <w:bottom w:val="none" w:sz="0" w:space="0" w:color="auto"/>
            <w:right w:val="none" w:sz="0" w:space="0" w:color="auto"/>
          </w:divBdr>
        </w:div>
        <w:div w:id="1657143408">
          <w:marLeft w:val="0"/>
          <w:marRight w:val="0"/>
          <w:marTop w:val="0"/>
          <w:marBottom w:val="0"/>
          <w:divBdr>
            <w:top w:val="none" w:sz="0" w:space="0" w:color="auto"/>
            <w:left w:val="none" w:sz="0" w:space="0" w:color="auto"/>
            <w:bottom w:val="none" w:sz="0" w:space="0" w:color="auto"/>
            <w:right w:val="none" w:sz="0" w:space="0" w:color="auto"/>
          </w:divBdr>
        </w:div>
        <w:div w:id="1665743762">
          <w:marLeft w:val="0"/>
          <w:marRight w:val="0"/>
          <w:marTop w:val="0"/>
          <w:marBottom w:val="0"/>
          <w:divBdr>
            <w:top w:val="none" w:sz="0" w:space="0" w:color="auto"/>
            <w:left w:val="none" w:sz="0" w:space="0" w:color="auto"/>
            <w:bottom w:val="none" w:sz="0" w:space="0" w:color="auto"/>
            <w:right w:val="none" w:sz="0" w:space="0" w:color="auto"/>
          </w:divBdr>
        </w:div>
        <w:div w:id="1670055509">
          <w:marLeft w:val="0"/>
          <w:marRight w:val="0"/>
          <w:marTop w:val="0"/>
          <w:marBottom w:val="0"/>
          <w:divBdr>
            <w:top w:val="none" w:sz="0" w:space="0" w:color="auto"/>
            <w:left w:val="none" w:sz="0" w:space="0" w:color="auto"/>
            <w:bottom w:val="none" w:sz="0" w:space="0" w:color="auto"/>
            <w:right w:val="none" w:sz="0" w:space="0" w:color="auto"/>
          </w:divBdr>
        </w:div>
        <w:div w:id="1672178237">
          <w:marLeft w:val="0"/>
          <w:marRight w:val="0"/>
          <w:marTop w:val="0"/>
          <w:marBottom w:val="0"/>
          <w:divBdr>
            <w:top w:val="none" w:sz="0" w:space="0" w:color="auto"/>
            <w:left w:val="none" w:sz="0" w:space="0" w:color="auto"/>
            <w:bottom w:val="none" w:sz="0" w:space="0" w:color="auto"/>
            <w:right w:val="none" w:sz="0" w:space="0" w:color="auto"/>
          </w:divBdr>
        </w:div>
        <w:div w:id="1690837027">
          <w:marLeft w:val="0"/>
          <w:marRight w:val="0"/>
          <w:marTop w:val="0"/>
          <w:marBottom w:val="0"/>
          <w:divBdr>
            <w:top w:val="none" w:sz="0" w:space="0" w:color="auto"/>
            <w:left w:val="none" w:sz="0" w:space="0" w:color="auto"/>
            <w:bottom w:val="none" w:sz="0" w:space="0" w:color="auto"/>
            <w:right w:val="none" w:sz="0" w:space="0" w:color="auto"/>
          </w:divBdr>
        </w:div>
        <w:div w:id="1705249551">
          <w:marLeft w:val="0"/>
          <w:marRight w:val="0"/>
          <w:marTop w:val="0"/>
          <w:marBottom w:val="0"/>
          <w:divBdr>
            <w:top w:val="none" w:sz="0" w:space="0" w:color="auto"/>
            <w:left w:val="none" w:sz="0" w:space="0" w:color="auto"/>
            <w:bottom w:val="none" w:sz="0" w:space="0" w:color="auto"/>
            <w:right w:val="none" w:sz="0" w:space="0" w:color="auto"/>
          </w:divBdr>
        </w:div>
        <w:div w:id="1705789982">
          <w:marLeft w:val="0"/>
          <w:marRight w:val="0"/>
          <w:marTop w:val="0"/>
          <w:marBottom w:val="0"/>
          <w:divBdr>
            <w:top w:val="none" w:sz="0" w:space="0" w:color="auto"/>
            <w:left w:val="none" w:sz="0" w:space="0" w:color="auto"/>
            <w:bottom w:val="none" w:sz="0" w:space="0" w:color="auto"/>
            <w:right w:val="none" w:sz="0" w:space="0" w:color="auto"/>
          </w:divBdr>
        </w:div>
        <w:div w:id="1710762563">
          <w:marLeft w:val="0"/>
          <w:marRight w:val="0"/>
          <w:marTop w:val="0"/>
          <w:marBottom w:val="0"/>
          <w:divBdr>
            <w:top w:val="none" w:sz="0" w:space="0" w:color="auto"/>
            <w:left w:val="none" w:sz="0" w:space="0" w:color="auto"/>
            <w:bottom w:val="none" w:sz="0" w:space="0" w:color="auto"/>
            <w:right w:val="none" w:sz="0" w:space="0" w:color="auto"/>
          </w:divBdr>
        </w:div>
        <w:div w:id="1714502940">
          <w:marLeft w:val="0"/>
          <w:marRight w:val="0"/>
          <w:marTop w:val="0"/>
          <w:marBottom w:val="0"/>
          <w:divBdr>
            <w:top w:val="none" w:sz="0" w:space="0" w:color="auto"/>
            <w:left w:val="none" w:sz="0" w:space="0" w:color="auto"/>
            <w:bottom w:val="none" w:sz="0" w:space="0" w:color="auto"/>
            <w:right w:val="none" w:sz="0" w:space="0" w:color="auto"/>
          </w:divBdr>
        </w:div>
        <w:div w:id="1724676302">
          <w:marLeft w:val="0"/>
          <w:marRight w:val="0"/>
          <w:marTop w:val="0"/>
          <w:marBottom w:val="0"/>
          <w:divBdr>
            <w:top w:val="none" w:sz="0" w:space="0" w:color="auto"/>
            <w:left w:val="none" w:sz="0" w:space="0" w:color="auto"/>
            <w:bottom w:val="none" w:sz="0" w:space="0" w:color="auto"/>
            <w:right w:val="none" w:sz="0" w:space="0" w:color="auto"/>
          </w:divBdr>
        </w:div>
        <w:div w:id="1737632433">
          <w:marLeft w:val="0"/>
          <w:marRight w:val="0"/>
          <w:marTop w:val="0"/>
          <w:marBottom w:val="0"/>
          <w:divBdr>
            <w:top w:val="none" w:sz="0" w:space="0" w:color="auto"/>
            <w:left w:val="none" w:sz="0" w:space="0" w:color="auto"/>
            <w:bottom w:val="none" w:sz="0" w:space="0" w:color="auto"/>
            <w:right w:val="none" w:sz="0" w:space="0" w:color="auto"/>
          </w:divBdr>
        </w:div>
        <w:div w:id="1750541450">
          <w:marLeft w:val="0"/>
          <w:marRight w:val="0"/>
          <w:marTop w:val="0"/>
          <w:marBottom w:val="0"/>
          <w:divBdr>
            <w:top w:val="none" w:sz="0" w:space="0" w:color="auto"/>
            <w:left w:val="none" w:sz="0" w:space="0" w:color="auto"/>
            <w:bottom w:val="none" w:sz="0" w:space="0" w:color="auto"/>
            <w:right w:val="none" w:sz="0" w:space="0" w:color="auto"/>
          </w:divBdr>
        </w:div>
        <w:div w:id="1765107823">
          <w:marLeft w:val="0"/>
          <w:marRight w:val="0"/>
          <w:marTop w:val="0"/>
          <w:marBottom w:val="0"/>
          <w:divBdr>
            <w:top w:val="none" w:sz="0" w:space="0" w:color="auto"/>
            <w:left w:val="none" w:sz="0" w:space="0" w:color="auto"/>
            <w:bottom w:val="none" w:sz="0" w:space="0" w:color="auto"/>
            <w:right w:val="none" w:sz="0" w:space="0" w:color="auto"/>
          </w:divBdr>
        </w:div>
        <w:div w:id="1767268512">
          <w:marLeft w:val="0"/>
          <w:marRight w:val="0"/>
          <w:marTop w:val="0"/>
          <w:marBottom w:val="0"/>
          <w:divBdr>
            <w:top w:val="none" w:sz="0" w:space="0" w:color="auto"/>
            <w:left w:val="none" w:sz="0" w:space="0" w:color="auto"/>
            <w:bottom w:val="none" w:sz="0" w:space="0" w:color="auto"/>
            <w:right w:val="none" w:sz="0" w:space="0" w:color="auto"/>
          </w:divBdr>
        </w:div>
        <w:div w:id="1776242778">
          <w:marLeft w:val="0"/>
          <w:marRight w:val="0"/>
          <w:marTop w:val="0"/>
          <w:marBottom w:val="0"/>
          <w:divBdr>
            <w:top w:val="none" w:sz="0" w:space="0" w:color="auto"/>
            <w:left w:val="none" w:sz="0" w:space="0" w:color="auto"/>
            <w:bottom w:val="none" w:sz="0" w:space="0" w:color="auto"/>
            <w:right w:val="none" w:sz="0" w:space="0" w:color="auto"/>
          </w:divBdr>
        </w:div>
        <w:div w:id="1776755573">
          <w:marLeft w:val="0"/>
          <w:marRight w:val="0"/>
          <w:marTop w:val="0"/>
          <w:marBottom w:val="0"/>
          <w:divBdr>
            <w:top w:val="none" w:sz="0" w:space="0" w:color="auto"/>
            <w:left w:val="none" w:sz="0" w:space="0" w:color="auto"/>
            <w:bottom w:val="none" w:sz="0" w:space="0" w:color="auto"/>
            <w:right w:val="none" w:sz="0" w:space="0" w:color="auto"/>
          </w:divBdr>
        </w:div>
        <w:div w:id="1781102798">
          <w:marLeft w:val="0"/>
          <w:marRight w:val="0"/>
          <w:marTop w:val="0"/>
          <w:marBottom w:val="0"/>
          <w:divBdr>
            <w:top w:val="none" w:sz="0" w:space="0" w:color="auto"/>
            <w:left w:val="none" w:sz="0" w:space="0" w:color="auto"/>
            <w:bottom w:val="none" w:sz="0" w:space="0" w:color="auto"/>
            <w:right w:val="none" w:sz="0" w:space="0" w:color="auto"/>
          </w:divBdr>
        </w:div>
        <w:div w:id="1784643095">
          <w:marLeft w:val="0"/>
          <w:marRight w:val="0"/>
          <w:marTop w:val="0"/>
          <w:marBottom w:val="0"/>
          <w:divBdr>
            <w:top w:val="none" w:sz="0" w:space="0" w:color="auto"/>
            <w:left w:val="none" w:sz="0" w:space="0" w:color="auto"/>
            <w:bottom w:val="none" w:sz="0" w:space="0" w:color="auto"/>
            <w:right w:val="none" w:sz="0" w:space="0" w:color="auto"/>
          </w:divBdr>
        </w:div>
        <w:div w:id="1812675527">
          <w:marLeft w:val="0"/>
          <w:marRight w:val="0"/>
          <w:marTop w:val="0"/>
          <w:marBottom w:val="0"/>
          <w:divBdr>
            <w:top w:val="none" w:sz="0" w:space="0" w:color="auto"/>
            <w:left w:val="none" w:sz="0" w:space="0" w:color="auto"/>
            <w:bottom w:val="none" w:sz="0" w:space="0" w:color="auto"/>
            <w:right w:val="none" w:sz="0" w:space="0" w:color="auto"/>
          </w:divBdr>
        </w:div>
        <w:div w:id="1827431891">
          <w:marLeft w:val="0"/>
          <w:marRight w:val="0"/>
          <w:marTop w:val="0"/>
          <w:marBottom w:val="0"/>
          <w:divBdr>
            <w:top w:val="none" w:sz="0" w:space="0" w:color="auto"/>
            <w:left w:val="none" w:sz="0" w:space="0" w:color="auto"/>
            <w:bottom w:val="none" w:sz="0" w:space="0" w:color="auto"/>
            <w:right w:val="none" w:sz="0" w:space="0" w:color="auto"/>
          </w:divBdr>
        </w:div>
        <w:div w:id="1835797538">
          <w:marLeft w:val="0"/>
          <w:marRight w:val="0"/>
          <w:marTop w:val="0"/>
          <w:marBottom w:val="0"/>
          <w:divBdr>
            <w:top w:val="none" w:sz="0" w:space="0" w:color="auto"/>
            <w:left w:val="none" w:sz="0" w:space="0" w:color="auto"/>
            <w:bottom w:val="none" w:sz="0" w:space="0" w:color="auto"/>
            <w:right w:val="none" w:sz="0" w:space="0" w:color="auto"/>
          </w:divBdr>
        </w:div>
        <w:div w:id="1839538128">
          <w:marLeft w:val="0"/>
          <w:marRight w:val="0"/>
          <w:marTop w:val="0"/>
          <w:marBottom w:val="0"/>
          <w:divBdr>
            <w:top w:val="none" w:sz="0" w:space="0" w:color="auto"/>
            <w:left w:val="none" w:sz="0" w:space="0" w:color="auto"/>
            <w:bottom w:val="none" w:sz="0" w:space="0" w:color="auto"/>
            <w:right w:val="none" w:sz="0" w:space="0" w:color="auto"/>
          </w:divBdr>
        </w:div>
        <w:div w:id="1841769152">
          <w:marLeft w:val="0"/>
          <w:marRight w:val="0"/>
          <w:marTop w:val="0"/>
          <w:marBottom w:val="0"/>
          <w:divBdr>
            <w:top w:val="none" w:sz="0" w:space="0" w:color="auto"/>
            <w:left w:val="none" w:sz="0" w:space="0" w:color="auto"/>
            <w:bottom w:val="none" w:sz="0" w:space="0" w:color="auto"/>
            <w:right w:val="none" w:sz="0" w:space="0" w:color="auto"/>
          </w:divBdr>
        </w:div>
        <w:div w:id="1850286931">
          <w:marLeft w:val="0"/>
          <w:marRight w:val="0"/>
          <w:marTop w:val="0"/>
          <w:marBottom w:val="0"/>
          <w:divBdr>
            <w:top w:val="none" w:sz="0" w:space="0" w:color="auto"/>
            <w:left w:val="none" w:sz="0" w:space="0" w:color="auto"/>
            <w:bottom w:val="none" w:sz="0" w:space="0" w:color="auto"/>
            <w:right w:val="none" w:sz="0" w:space="0" w:color="auto"/>
          </w:divBdr>
        </w:div>
        <w:div w:id="1864978666">
          <w:marLeft w:val="0"/>
          <w:marRight w:val="0"/>
          <w:marTop w:val="0"/>
          <w:marBottom w:val="0"/>
          <w:divBdr>
            <w:top w:val="none" w:sz="0" w:space="0" w:color="auto"/>
            <w:left w:val="none" w:sz="0" w:space="0" w:color="auto"/>
            <w:bottom w:val="none" w:sz="0" w:space="0" w:color="auto"/>
            <w:right w:val="none" w:sz="0" w:space="0" w:color="auto"/>
          </w:divBdr>
        </w:div>
        <w:div w:id="1865240578">
          <w:marLeft w:val="0"/>
          <w:marRight w:val="0"/>
          <w:marTop w:val="0"/>
          <w:marBottom w:val="0"/>
          <w:divBdr>
            <w:top w:val="none" w:sz="0" w:space="0" w:color="auto"/>
            <w:left w:val="none" w:sz="0" w:space="0" w:color="auto"/>
            <w:bottom w:val="none" w:sz="0" w:space="0" w:color="auto"/>
            <w:right w:val="none" w:sz="0" w:space="0" w:color="auto"/>
          </w:divBdr>
        </w:div>
        <w:div w:id="1878275278">
          <w:marLeft w:val="0"/>
          <w:marRight w:val="0"/>
          <w:marTop w:val="0"/>
          <w:marBottom w:val="0"/>
          <w:divBdr>
            <w:top w:val="none" w:sz="0" w:space="0" w:color="auto"/>
            <w:left w:val="none" w:sz="0" w:space="0" w:color="auto"/>
            <w:bottom w:val="none" w:sz="0" w:space="0" w:color="auto"/>
            <w:right w:val="none" w:sz="0" w:space="0" w:color="auto"/>
          </w:divBdr>
        </w:div>
        <w:div w:id="1909070002">
          <w:marLeft w:val="0"/>
          <w:marRight w:val="0"/>
          <w:marTop w:val="0"/>
          <w:marBottom w:val="0"/>
          <w:divBdr>
            <w:top w:val="none" w:sz="0" w:space="0" w:color="auto"/>
            <w:left w:val="none" w:sz="0" w:space="0" w:color="auto"/>
            <w:bottom w:val="none" w:sz="0" w:space="0" w:color="auto"/>
            <w:right w:val="none" w:sz="0" w:space="0" w:color="auto"/>
          </w:divBdr>
        </w:div>
        <w:div w:id="1910266685">
          <w:marLeft w:val="0"/>
          <w:marRight w:val="0"/>
          <w:marTop w:val="0"/>
          <w:marBottom w:val="0"/>
          <w:divBdr>
            <w:top w:val="none" w:sz="0" w:space="0" w:color="auto"/>
            <w:left w:val="none" w:sz="0" w:space="0" w:color="auto"/>
            <w:bottom w:val="none" w:sz="0" w:space="0" w:color="auto"/>
            <w:right w:val="none" w:sz="0" w:space="0" w:color="auto"/>
          </w:divBdr>
        </w:div>
        <w:div w:id="1912153318">
          <w:marLeft w:val="0"/>
          <w:marRight w:val="0"/>
          <w:marTop w:val="0"/>
          <w:marBottom w:val="0"/>
          <w:divBdr>
            <w:top w:val="none" w:sz="0" w:space="0" w:color="auto"/>
            <w:left w:val="none" w:sz="0" w:space="0" w:color="auto"/>
            <w:bottom w:val="none" w:sz="0" w:space="0" w:color="auto"/>
            <w:right w:val="none" w:sz="0" w:space="0" w:color="auto"/>
          </w:divBdr>
        </w:div>
        <w:div w:id="1923561104">
          <w:marLeft w:val="0"/>
          <w:marRight w:val="0"/>
          <w:marTop w:val="0"/>
          <w:marBottom w:val="0"/>
          <w:divBdr>
            <w:top w:val="none" w:sz="0" w:space="0" w:color="auto"/>
            <w:left w:val="none" w:sz="0" w:space="0" w:color="auto"/>
            <w:bottom w:val="none" w:sz="0" w:space="0" w:color="auto"/>
            <w:right w:val="none" w:sz="0" w:space="0" w:color="auto"/>
          </w:divBdr>
        </w:div>
        <w:div w:id="1941259911">
          <w:marLeft w:val="0"/>
          <w:marRight w:val="0"/>
          <w:marTop w:val="0"/>
          <w:marBottom w:val="0"/>
          <w:divBdr>
            <w:top w:val="none" w:sz="0" w:space="0" w:color="auto"/>
            <w:left w:val="none" w:sz="0" w:space="0" w:color="auto"/>
            <w:bottom w:val="none" w:sz="0" w:space="0" w:color="auto"/>
            <w:right w:val="none" w:sz="0" w:space="0" w:color="auto"/>
          </w:divBdr>
        </w:div>
        <w:div w:id="1953635237">
          <w:marLeft w:val="0"/>
          <w:marRight w:val="0"/>
          <w:marTop w:val="0"/>
          <w:marBottom w:val="0"/>
          <w:divBdr>
            <w:top w:val="none" w:sz="0" w:space="0" w:color="auto"/>
            <w:left w:val="none" w:sz="0" w:space="0" w:color="auto"/>
            <w:bottom w:val="none" w:sz="0" w:space="0" w:color="auto"/>
            <w:right w:val="none" w:sz="0" w:space="0" w:color="auto"/>
          </w:divBdr>
        </w:div>
        <w:div w:id="1954703794">
          <w:marLeft w:val="0"/>
          <w:marRight w:val="0"/>
          <w:marTop w:val="0"/>
          <w:marBottom w:val="0"/>
          <w:divBdr>
            <w:top w:val="none" w:sz="0" w:space="0" w:color="auto"/>
            <w:left w:val="none" w:sz="0" w:space="0" w:color="auto"/>
            <w:bottom w:val="none" w:sz="0" w:space="0" w:color="auto"/>
            <w:right w:val="none" w:sz="0" w:space="0" w:color="auto"/>
          </w:divBdr>
        </w:div>
        <w:div w:id="1960603068">
          <w:marLeft w:val="0"/>
          <w:marRight w:val="0"/>
          <w:marTop w:val="0"/>
          <w:marBottom w:val="0"/>
          <w:divBdr>
            <w:top w:val="none" w:sz="0" w:space="0" w:color="auto"/>
            <w:left w:val="none" w:sz="0" w:space="0" w:color="auto"/>
            <w:bottom w:val="none" w:sz="0" w:space="0" w:color="auto"/>
            <w:right w:val="none" w:sz="0" w:space="0" w:color="auto"/>
          </w:divBdr>
        </w:div>
        <w:div w:id="1966426404">
          <w:marLeft w:val="0"/>
          <w:marRight w:val="0"/>
          <w:marTop w:val="0"/>
          <w:marBottom w:val="0"/>
          <w:divBdr>
            <w:top w:val="none" w:sz="0" w:space="0" w:color="auto"/>
            <w:left w:val="none" w:sz="0" w:space="0" w:color="auto"/>
            <w:bottom w:val="none" w:sz="0" w:space="0" w:color="auto"/>
            <w:right w:val="none" w:sz="0" w:space="0" w:color="auto"/>
          </w:divBdr>
        </w:div>
        <w:div w:id="1972200465">
          <w:marLeft w:val="0"/>
          <w:marRight w:val="0"/>
          <w:marTop w:val="0"/>
          <w:marBottom w:val="0"/>
          <w:divBdr>
            <w:top w:val="none" w:sz="0" w:space="0" w:color="auto"/>
            <w:left w:val="none" w:sz="0" w:space="0" w:color="auto"/>
            <w:bottom w:val="none" w:sz="0" w:space="0" w:color="auto"/>
            <w:right w:val="none" w:sz="0" w:space="0" w:color="auto"/>
          </w:divBdr>
        </w:div>
        <w:div w:id="1979219085">
          <w:marLeft w:val="0"/>
          <w:marRight w:val="0"/>
          <w:marTop w:val="0"/>
          <w:marBottom w:val="0"/>
          <w:divBdr>
            <w:top w:val="none" w:sz="0" w:space="0" w:color="auto"/>
            <w:left w:val="none" w:sz="0" w:space="0" w:color="auto"/>
            <w:bottom w:val="none" w:sz="0" w:space="0" w:color="auto"/>
            <w:right w:val="none" w:sz="0" w:space="0" w:color="auto"/>
          </w:divBdr>
        </w:div>
        <w:div w:id="1981181422">
          <w:marLeft w:val="0"/>
          <w:marRight w:val="0"/>
          <w:marTop w:val="0"/>
          <w:marBottom w:val="0"/>
          <w:divBdr>
            <w:top w:val="none" w:sz="0" w:space="0" w:color="auto"/>
            <w:left w:val="none" w:sz="0" w:space="0" w:color="auto"/>
            <w:bottom w:val="none" w:sz="0" w:space="0" w:color="auto"/>
            <w:right w:val="none" w:sz="0" w:space="0" w:color="auto"/>
          </w:divBdr>
        </w:div>
        <w:div w:id="1981568995">
          <w:marLeft w:val="0"/>
          <w:marRight w:val="0"/>
          <w:marTop w:val="0"/>
          <w:marBottom w:val="0"/>
          <w:divBdr>
            <w:top w:val="none" w:sz="0" w:space="0" w:color="auto"/>
            <w:left w:val="none" w:sz="0" w:space="0" w:color="auto"/>
            <w:bottom w:val="none" w:sz="0" w:space="0" w:color="auto"/>
            <w:right w:val="none" w:sz="0" w:space="0" w:color="auto"/>
          </w:divBdr>
        </w:div>
        <w:div w:id="1986274209">
          <w:marLeft w:val="0"/>
          <w:marRight w:val="0"/>
          <w:marTop w:val="0"/>
          <w:marBottom w:val="0"/>
          <w:divBdr>
            <w:top w:val="none" w:sz="0" w:space="0" w:color="auto"/>
            <w:left w:val="none" w:sz="0" w:space="0" w:color="auto"/>
            <w:bottom w:val="none" w:sz="0" w:space="0" w:color="auto"/>
            <w:right w:val="none" w:sz="0" w:space="0" w:color="auto"/>
          </w:divBdr>
        </w:div>
        <w:div w:id="1992715980">
          <w:marLeft w:val="0"/>
          <w:marRight w:val="0"/>
          <w:marTop w:val="0"/>
          <w:marBottom w:val="0"/>
          <w:divBdr>
            <w:top w:val="none" w:sz="0" w:space="0" w:color="auto"/>
            <w:left w:val="none" w:sz="0" w:space="0" w:color="auto"/>
            <w:bottom w:val="none" w:sz="0" w:space="0" w:color="auto"/>
            <w:right w:val="none" w:sz="0" w:space="0" w:color="auto"/>
          </w:divBdr>
        </w:div>
        <w:div w:id="2009476384">
          <w:marLeft w:val="0"/>
          <w:marRight w:val="0"/>
          <w:marTop w:val="0"/>
          <w:marBottom w:val="0"/>
          <w:divBdr>
            <w:top w:val="none" w:sz="0" w:space="0" w:color="auto"/>
            <w:left w:val="none" w:sz="0" w:space="0" w:color="auto"/>
            <w:bottom w:val="none" w:sz="0" w:space="0" w:color="auto"/>
            <w:right w:val="none" w:sz="0" w:space="0" w:color="auto"/>
          </w:divBdr>
        </w:div>
        <w:div w:id="2010251929">
          <w:marLeft w:val="0"/>
          <w:marRight w:val="0"/>
          <w:marTop w:val="0"/>
          <w:marBottom w:val="0"/>
          <w:divBdr>
            <w:top w:val="none" w:sz="0" w:space="0" w:color="auto"/>
            <w:left w:val="none" w:sz="0" w:space="0" w:color="auto"/>
            <w:bottom w:val="none" w:sz="0" w:space="0" w:color="auto"/>
            <w:right w:val="none" w:sz="0" w:space="0" w:color="auto"/>
          </w:divBdr>
        </w:div>
        <w:div w:id="2044359905">
          <w:marLeft w:val="0"/>
          <w:marRight w:val="0"/>
          <w:marTop w:val="0"/>
          <w:marBottom w:val="0"/>
          <w:divBdr>
            <w:top w:val="none" w:sz="0" w:space="0" w:color="auto"/>
            <w:left w:val="none" w:sz="0" w:space="0" w:color="auto"/>
            <w:bottom w:val="none" w:sz="0" w:space="0" w:color="auto"/>
            <w:right w:val="none" w:sz="0" w:space="0" w:color="auto"/>
          </w:divBdr>
        </w:div>
        <w:div w:id="2066484094">
          <w:marLeft w:val="0"/>
          <w:marRight w:val="0"/>
          <w:marTop w:val="0"/>
          <w:marBottom w:val="0"/>
          <w:divBdr>
            <w:top w:val="none" w:sz="0" w:space="0" w:color="auto"/>
            <w:left w:val="none" w:sz="0" w:space="0" w:color="auto"/>
            <w:bottom w:val="none" w:sz="0" w:space="0" w:color="auto"/>
            <w:right w:val="none" w:sz="0" w:space="0" w:color="auto"/>
          </w:divBdr>
        </w:div>
        <w:div w:id="2077969138">
          <w:marLeft w:val="0"/>
          <w:marRight w:val="0"/>
          <w:marTop w:val="0"/>
          <w:marBottom w:val="0"/>
          <w:divBdr>
            <w:top w:val="none" w:sz="0" w:space="0" w:color="auto"/>
            <w:left w:val="none" w:sz="0" w:space="0" w:color="auto"/>
            <w:bottom w:val="none" w:sz="0" w:space="0" w:color="auto"/>
            <w:right w:val="none" w:sz="0" w:space="0" w:color="auto"/>
          </w:divBdr>
        </w:div>
        <w:div w:id="2079788712">
          <w:marLeft w:val="0"/>
          <w:marRight w:val="0"/>
          <w:marTop w:val="0"/>
          <w:marBottom w:val="0"/>
          <w:divBdr>
            <w:top w:val="none" w:sz="0" w:space="0" w:color="auto"/>
            <w:left w:val="none" w:sz="0" w:space="0" w:color="auto"/>
            <w:bottom w:val="none" w:sz="0" w:space="0" w:color="auto"/>
            <w:right w:val="none" w:sz="0" w:space="0" w:color="auto"/>
          </w:divBdr>
        </w:div>
        <w:div w:id="2084333349">
          <w:marLeft w:val="0"/>
          <w:marRight w:val="0"/>
          <w:marTop w:val="0"/>
          <w:marBottom w:val="0"/>
          <w:divBdr>
            <w:top w:val="none" w:sz="0" w:space="0" w:color="auto"/>
            <w:left w:val="none" w:sz="0" w:space="0" w:color="auto"/>
            <w:bottom w:val="none" w:sz="0" w:space="0" w:color="auto"/>
            <w:right w:val="none" w:sz="0" w:space="0" w:color="auto"/>
          </w:divBdr>
        </w:div>
        <w:div w:id="2097625978">
          <w:marLeft w:val="0"/>
          <w:marRight w:val="0"/>
          <w:marTop w:val="0"/>
          <w:marBottom w:val="0"/>
          <w:divBdr>
            <w:top w:val="none" w:sz="0" w:space="0" w:color="auto"/>
            <w:left w:val="none" w:sz="0" w:space="0" w:color="auto"/>
            <w:bottom w:val="none" w:sz="0" w:space="0" w:color="auto"/>
            <w:right w:val="none" w:sz="0" w:space="0" w:color="auto"/>
          </w:divBdr>
        </w:div>
        <w:div w:id="2114786416">
          <w:marLeft w:val="0"/>
          <w:marRight w:val="0"/>
          <w:marTop w:val="0"/>
          <w:marBottom w:val="0"/>
          <w:divBdr>
            <w:top w:val="none" w:sz="0" w:space="0" w:color="auto"/>
            <w:left w:val="none" w:sz="0" w:space="0" w:color="auto"/>
            <w:bottom w:val="none" w:sz="0" w:space="0" w:color="auto"/>
            <w:right w:val="none" w:sz="0" w:space="0" w:color="auto"/>
          </w:divBdr>
        </w:div>
        <w:div w:id="2128036020">
          <w:marLeft w:val="0"/>
          <w:marRight w:val="0"/>
          <w:marTop w:val="0"/>
          <w:marBottom w:val="0"/>
          <w:divBdr>
            <w:top w:val="none" w:sz="0" w:space="0" w:color="auto"/>
            <w:left w:val="none" w:sz="0" w:space="0" w:color="auto"/>
            <w:bottom w:val="none" w:sz="0" w:space="0" w:color="auto"/>
            <w:right w:val="none" w:sz="0" w:space="0" w:color="auto"/>
          </w:divBdr>
        </w:div>
      </w:divsChild>
    </w:div>
    <w:div w:id="536281412">
      <w:bodyDiv w:val="1"/>
      <w:marLeft w:val="0"/>
      <w:marRight w:val="0"/>
      <w:marTop w:val="0"/>
      <w:marBottom w:val="0"/>
      <w:divBdr>
        <w:top w:val="none" w:sz="0" w:space="0" w:color="auto"/>
        <w:left w:val="none" w:sz="0" w:space="0" w:color="auto"/>
        <w:bottom w:val="none" w:sz="0" w:space="0" w:color="auto"/>
        <w:right w:val="none" w:sz="0" w:space="0" w:color="auto"/>
      </w:divBdr>
      <w:divsChild>
        <w:div w:id="59638604">
          <w:marLeft w:val="0"/>
          <w:marRight w:val="0"/>
          <w:marTop w:val="0"/>
          <w:marBottom w:val="0"/>
          <w:divBdr>
            <w:top w:val="none" w:sz="0" w:space="0" w:color="auto"/>
            <w:left w:val="none" w:sz="0" w:space="0" w:color="auto"/>
            <w:bottom w:val="none" w:sz="0" w:space="0" w:color="auto"/>
            <w:right w:val="none" w:sz="0" w:space="0" w:color="auto"/>
          </w:divBdr>
          <w:divsChild>
            <w:div w:id="525140538">
              <w:marLeft w:val="0"/>
              <w:marRight w:val="0"/>
              <w:marTop w:val="0"/>
              <w:marBottom w:val="0"/>
              <w:divBdr>
                <w:top w:val="none" w:sz="0" w:space="0" w:color="auto"/>
                <w:left w:val="none" w:sz="0" w:space="0" w:color="auto"/>
                <w:bottom w:val="none" w:sz="0" w:space="0" w:color="auto"/>
                <w:right w:val="none" w:sz="0" w:space="0" w:color="auto"/>
              </w:divBdr>
            </w:div>
            <w:div w:id="548763911">
              <w:marLeft w:val="0"/>
              <w:marRight w:val="0"/>
              <w:marTop w:val="0"/>
              <w:marBottom w:val="0"/>
              <w:divBdr>
                <w:top w:val="none" w:sz="0" w:space="0" w:color="auto"/>
                <w:left w:val="none" w:sz="0" w:space="0" w:color="auto"/>
                <w:bottom w:val="none" w:sz="0" w:space="0" w:color="auto"/>
                <w:right w:val="none" w:sz="0" w:space="0" w:color="auto"/>
              </w:divBdr>
            </w:div>
            <w:div w:id="819465483">
              <w:marLeft w:val="0"/>
              <w:marRight w:val="0"/>
              <w:marTop w:val="0"/>
              <w:marBottom w:val="0"/>
              <w:divBdr>
                <w:top w:val="none" w:sz="0" w:space="0" w:color="auto"/>
                <w:left w:val="none" w:sz="0" w:space="0" w:color="auto"/>
                <w:bottom w:val="none" w:sz="0" w:space="0" w:color="auto"/>
                <w:right w:val="none" w:sz="0" w:space="0" w:color="auto"/>
              </w:divBdr>
            </w:div>
            <w:div w:id="831722388">
              <w:marLeft w:val="0"/>
              <w:marRight w:val="0"/>
              <w:marTop w:val="0"/>
              <w:marBottom w:val="0"/>
              <w:divBdr>
                <w:top w:val="none" w:sz="0" w:space="0" w:color="auto"/>
                <w:left w:val="none" w:sz="0" w:space="0" w:color="auto"/>
                <w:bottom w:val="none" w:sz="0" w:space="0" w:color="auto"/>
                <w:right w:val="none" w:sz="0" w:space="0" w:color="auto"/>
              </w:divBdr>
            </w:div>
            <w:div w:id="1616330957">
              <w:marLeft w:val="0"/>
              <w:marRight w:val="0"/>
              <w:marTop w:val="0"/>
              <w:marBottom w:val="0"/>
              <w:divBdr>
                <w:top w:val="none" w:sz="0" w:space="0" w:color="auto"/>
                <w:left w:val="none" w:sz="0" w:space="0" w:color="auto"/>
                <w:bottom w:val="none" w:sz="0" w:space="0" w:color="auto"/>
                <w:right w:val="none" w:sz="0" w:space="0" w:color="auto"/>
              </w:divBdr>
            </w:div>
          </w:divsChild>
        </w:div>
        <w:div w:id="104229123">
          <w:marLeft w:val="0"/>
          <w:marRight w:val="0"/>
          <w:marTop w:val="0"/>
          <w:marBottom w:val="0"/>
          <w:divBdr>
            <w:top w:val="none" w:sz="0" w:space="0" w:color="auto"/>
            <w:left w:val="none" w:sz="0" w:space="0" w:color="auto"/>
            <w:bottom w:val="none" w:sz="0" w:space="0" w:color="auto"/>
            <w:right w:val="none" w:sz="0" w:space="0" w:color="auto"/>
          </w:divBdr>
          <w:divsChild>
            <w:div w:id="804852390">
              <w:marLeft w:val="0"/>
              <w:marRight w:val="0"/>
              <w:marTop w:val="0"/>
              <w:marBottom w:val="0"/>
              <w:divBdr>
                <w:top w:val="none" w:sz="0" w:space="0" w:color="auto"/>
                <w:left w:val="none" w:sz="0" w:space="0" w:color="auto"/>
                <w:bottom w:val="none" w:sz="0" w:space="0" w:color="auto"/>
                <w:right w:val="none" w:sz="0" w:space="0" w:color="auto"/>
              </w:divBdr>
            </w:div>
          </w:divsChild>
        </w:div>
        <w:div w:id="327641337">
          <w:marLeft w:val="0"/>
          <w:marRight w:val="0"/>
          <w:marTop w:val="0"/>
          <w:marBottom w:val="0"/>
          <w:divBdr>
            <w:top w:val="none" w:sz="0" w:space="0" w:color="auto"/>
            <w:left w:val="none" w:sz="0" w:space="0" w:color="auto"/>
            <w:bottom w:val="none" w:sz="0" w:space="0" w:color="auto"/>
            <w:right w:val="none" w:sz="0" w:space="0" w:color="auto"/>
          </w:divBdr>
          <w:divsChild>
            <w:div w:id="39281892">
              <w:marLeft w:val="0"/>
              <w:marRight w:val="0"/>
              <w:marTop w:val="0"/>
              <w:marBottom w:val="0"/>
              <w:divBdr>
                <w:top w:val="none" w:sz="0" w:space="0" w:color="auto"/>
                <w:left w:val="none" w:sz="0" w:space="0" w:color="auto"/>
                <w:bottom w:val="none" w:sz="0" w:space="0" w:color="auto"/>
                <w:right w:val="none" w:sz="0" w:space="0" w:color="auto"/>
              </w:divBdr>
            </w:div>
            <w:div w:id="732388506">
              <w:marLeft w:val="0"/>
              <w:marRight w:val="0"/>
              <w:marTop w:val="0"/>
              <w:marBottom w:val="0"/>
              <w:divBdr>
                <w:top w:val="none" w:sz="0" w:space="0" w:color="auto"/>
                <w:left w:val="none" w:sz="0" w:space="0" w:color="auto"/>
                <w:bottom w:val="none" w:sz="0" w:space="0" w:color="auto"/>
                <w:right w:val="none" w:sz="0" w:space="0" w:color="auto"/>
              </w:divBdr>
            </w:div>
            <w:div w:id="742798582">
              <w:marLeft w:val="0"/>
              <w:marRight w:val="0"/>
              <w:marTop w:val="0"/>
              <w:marBottom w:val="0"/>
              <w:divBdr>
                <w:top w:val="none" w:sz="0" w:space="0" w:color="auto"/>
                <w:left w:val="none" w:sz="0" w:space="0" w:color="auto"/>
                <w:bottom w:val="none" w:sz="0" w:space="0" w:color="auto"/>
                <w:right w:val="none" w:sz="0" w:space="0" w:color="auto"/>
              </w:divBdr>
            </w:div>
            <w:div w:id="850098445">
              <w:marLeft w:val="0"/>
              <w:marRight w:val="0"/>
              <w:marTop w:val="0"/>
              <w:marBottom w:val="0"/>
              <w:divBdr>
                <w:top w:val="none" w:sz="0" w:space="0" w:color="auto"/>
                <w:left w:val="none" w:sz="0" w:space="0" w:color="auto"/>
                <w:bottom w:val="none" w:sz="0" w:space="0" w:color="auto"/>
                <w:right w:val="none" w:sz="0" w:space="0" w:color="auto"/>
              </w:divBdr>
            </w:div>
            <w:div w:id="907424132">
              <w:marLeft w:val="0"/>
              <w:marRight w:val="0"/>
              <w:marTop w:val="0"/>
              <w:marBottom w:val="0"/>
              <w:divBdr>
                <w:top w:val="none" w:sz="0" w:space="0" w:color="auto"/>
                <w:left w:val="none" w:sz="0" w:space="0" w:color="auto"/>
                <w:bottom w:val="none" w:sz="0" w:space="0" w:color="auto"/>
                <w:right w:val="none" w:sz="0" w:space="0" w:color="auto"/>
              </w:divBdr>
            </w:div>
            <w:div w:id="1488980178">
              <w:marLeft w:val="0"/>
              <w:marRight w:val="0"/>
              <w:marTop w:val="0"/>
              <w:marBottom w:val="0"/>
              <w:divBdr>
                <w:top w:val="none" w:sz="0" w:space="0" w:color="auto"/>
                <w:left w:val="none" w:sz="0" w:space="0" w:color="auto"/>
                <w:bottom w:val="none" w:sz="0" w:space="0" w:color="auto"/>
                <w:right w:val="none" w:sz="0" w:space="0" w:color="auto"/>
              </w:divBdr>
            </w:div>
            <w:div w:id="1690906208">
              <w:marLeft w:val="0"/>
              <w:marRight w:val="0"/>
              <w:marTop w:val="0"/>
              <w:marBottom w:val="0"/>
              <w:divBdr>
                <w:top w:val="none" w:sz="0" w:space="0" w:color="auto"/>
                <w:left w:val="none" w:sz="0" w:space="0" w:color="auto"/>
                <w:bottom w:val="none" w:sz="0" w:space="0" w:color="auto"/>
                <w:right w:val="none" w:sz="0" w:space="0" w:color="auto"/>
              </w:divBdr>
            </w:div>
          </w:divsChild>
        </w:div>
        <w:div w:id="598216579">
          <w:marLeft w:val="0"/>
          <w:marRight w:val="0"/>
          <w:marTop w:val="0"/>
          <w:marBottom w:val="0"/>
          <w:divBdr>
            <w:top w:val="none" w:sz="0" w:space="0" w:color="auto"/>
            <w:left w:val="none" w:sz="0" w:space="0" w:color="auto"/>
            <w:bottom w:val="none" w:sz="0" w:space="0" w:color="auto"/>
            <w:right w:val="none" w:sz="0" w:space="0" w:color="auto"/>
          </w:divBdr>
          <w:divsChild>
            <w:div w:id="259728091">
              <w:marLeft w:val="0"/>
              <w:marRight w:val="0"/>
              <w:marTop w:val="0"/>
              <w:marBottom w:val="0"/>
              <w:divBdr>
                <w:top w:val="none" w:sz="0" w:space="0" w:color="auto"/>
                <w:left w:val="none" w:sz="0" w:space="0" w:color="auto"/>
                <w:bottom w:val="none" w:sz="0" w:space="0" w:color="auto"/>
                <w:right w:val="none" w:sz="0" w:space="0" w:color="auto"/>
              </w:divBdr>
            </w:div>
            <w:div w:id="1277636098">
              <w:marLeft w:val="0"/>
              <w:marRight w:val="0"/>
              <w:marTop w:val="0"/>
              <w:marBottom w:val="0"/>
              <w:divBdr>
                <w:top w:val="none" w:sz="0" w:space="0" w:color="auto"/>
                <w:left w:val="none" w:sz="0" w:space="0" w:color="auto"/>
                <w:bottom w:val="none" w:sz="0" w:space="0" w:color="auto"/>
                <w:right w:val="none" w:sz="0" w:space="0" w:color="auto"/>
              </w:divBdr>
            </w:div>
            <w:div w:id="1312446486">
              <w:marLeft w:val="0"/>
              <w:marRight w:val="0"/>
              <w:marTop w:val="0"/>
              <w:marBottom w:val="0"/>
              <w:divBdr>
                <w:top w:val="none" w:sz="0" w:space="0" w:color="auto"/>
                <w:left w:val="none" w:sz="0" w:space="0" w:color="auto"/>
                <w:bottom w:val="none" w:sz="0" w:space="0" w:color="auto"/>
                <w:right w:val="none" w:sz="0" w:space="0" w:color="auto"/>
              </w:divBdr>
            </w:div>
            <w:div w:id="1429813451">
              <w:marLeft w:val="0"/>
              <w:marRight w:val="0"/>
              <w:marTop w:val="0"/>
              <w:marBottom w:val="0"/>
              <w:divBdr>
                <w:top w:val="none" w:sz="0" w:space="0" w:color="auto"/>
                <w:left w:val="none" w:sz="0" w:space="0" w:color="auto"/>
                <w:bottom w:val="none" w:sz="0" w:space="0" w:color="auto"/>
                <w:right w:val="none" w:sz="0" w:space="0" w:color="auto"/>
              </w:divBdr>
            </w:div>
            <w:div w:id="1649168216">
              <w:marLeft w:val="0"/>
              <w:marRight w:val="0"/>
              <w:marTop w:val="0"/>
              <w:marBottom w:val="0"/>
              <w:divBdr>
                <w:top w:val="none" w:sz="0" w:space="0" w:color="auto"/>
                <w:left w:val="none" w:sz="0" w:space="0" w:color="auto"/>
                <w:bottom w:val="none" w:sz="0" w:space="0" w:color="auto"/>
                <w:right w:val="none" w:sz="0" w:space="0" w:color="auto"/>
              </w:divBdr>
            </w:div>
            <w:div w:id="1782072888">
              <w:marLeft w:val="0"/>
              <w:marRight w:val="0"/>
              <w:marTop w:val="0"/>
              <w:marBottom w:val="0"/>
              <w:divBdr>
                <w:top w:val="none" w:sz="0" w:space="0" w:color="auto"/>
                <w:left w:val="none" w:sz="0" w:space="0" w:color="auto"/>
                <w:bottom w:val="none" w:sz="0" w:space="0" w:color="auto"/>
                <w:right w:val="none" w:sz="0" w:space="0" w:color="auto"/>
              </w:divBdr>
            </w:div>
          </w:divsChild>
        </w:div>
        <w:div w:id="623997411">
          <w:marLeft w:val="0"/>
          <w:marRight w:val="0"/>
          <w:marTop w:val="0"/>
          <w:marBottom w:val="0"/>
          <w:divBdr>
            <w:top w:val="none" w:sz="0" w:space="0" w:color="auto"/>
            <w:left w:val="none" w:sz="0" w:space="0" w:color="auto"/>
            <w:bottom w:val="none" w:sz="0" w:space="0" w:color="auto"/>
            <w:right w:val="none" w:sz="0" w:space="0" w:color="auto"/>
          </w:divBdr>
          <w:divsChild>
            <w:div w:id="55978782">
              <w:marLeft w:val="0"/>
              <w:marRight w:val="0"/>
              <w:marTop w:val="0"/>
              <w:marBottom w:val="0"/>
              <w:divBdr>
                <w:top w:val="none" w:sz="0" w:space="0" w:color="auto"/>
                <w:left w:val="none" w:sz="0" w:space="0" w:color="auto"/>
                <w:bottom w:val="none" w:sz="0" w:space="0" w:color="auto"/>
                <w:right w:val="none" w:sz="0" w:space="0" w:color="auto"/>
              </w:divBdr>
            </w:div>
            <w:div w:id="327905514">
              <w:marLeft w:val="0"/>
              <w:marRight w:val="0"/>
              <w:marTop w:val="0"/>
              <w:marBottom w:val="0"/>
              <w:divBdr>
                <w:top w:val="none" w:sz="0" w:space="0" w:color="auto"/>
                <w:left w:val="none" w:sz="0" w:space="0" w:color="auto"/>
                <w:bottom w:val="none" w:sz="0" w:space="0" w:color="auto"/>
                <w:right w:val="none" w:sz="0" w:space="0" w:color="auto"/>
              </w:divBdr>
            </w:div>
            <w:div w:id="542867135">
              <w:marLeft w:val="0"/>
              <w:marRight w:val="0"/>
              <w:marTop w:val="0"/>
              <w:marBottom w:val="0"/>
              <w:divBdr>
                <w:top w:val="none" w:sz="0" w:space="0" w:color="auto"/>
                <w:left w:val="none" w:sz="0" w:space="0" w:color="auto"/>
                <w:bottom w:val="none" w:sz="0" w:space="0" w:color="auto"/>
                <w:right w:val="none" w:sz="0" w:space="0" w:color="auto"/>
              </w:divBdr>
            </w:div>
            <w:div w:id="689917652">
              <w:marLeft w:val="0"/>
              <w:marRight w:val="0"/>
              <w:marTop w:val="0"/>
              <w:marBottom w:val="0"/>
              <w:divBdr>
                <w:top w:val="none" w:sz="0" w:space="0" w:color="auto"/>
                <w:left w:val="none" w:sz="0" w:space="0" w:color="auto"/>
                <w:bottom w:val="none" w:sz="0" w:space="0" w:color="auto"/>
                <w:right w:val="none" w:sz="0" w:space="0" w:color="auto"/>
              </w:divBdr>
            </w:div>
            <w:div w:id="1169642302">
              <w:marLeft w:val="0"/>
              <w:marRight w:val="0"/>
              <w:marTop w:val="0"/>
              <w:marBottom w:val="0"/>
              <w:divBdr>
                <w:top w:val="none" w:sz="0" w:space="0" w:color="auto"/>
                <w:left w:val="none" w:sz="0" w:space="0" w:color="auto"/>
                <w:bottom w:val="none" w:sz="0" w:space="0" w:color="auto"/>
                <w:right w:val="none" w:sz="0" w:space="0" w:color="auto"/>
              </w:divBdr>
            </w:div>
            <w:div w:id="1759214175">
              <w:marLeft w:val="0"/>
              <w:marRight w:val="0"/>
              <w:marTop w:val="0"/>
              <w:marBottom w:val="0"/>
              <w:divBdr>
                <w:top w:val="none" w:sz="0" w:space="0" w:color="auto"/>
                <w:left w:val="none" w:sz="0" w:space="0" w:color="auto"/>
                <w:bottom w:val="none" w:sz="0" w:space="0" w:color="auto"/>
                <w:right w:val="none" w:sz="0" w:space="0" w:color="auto"/>
              </w:divBdr>
            </w:div>
            <w:div w:id="2048874383">
              <w:marLeft w:val="0"/>
              <w:marRight w:val="0"/>
              <w:marTop w:val="0"/>
              <w:marBottom w:val="0"/>
              <w:divBdr>
                <w:top w:val="none" w:sz="0" w:space="0" w:color="auto"/>
                <w:left w:val="none" w:sz="0" w:space="0" w:color="auto"/>
                <w:bottom w:val="none" w:sz="0" w:space="0" w:color="auto"/>
                <w:right w:val="none" w:sz="0" w:space="0" w:color="auto"/>
              </w:divBdr>
            </w:div>
          </w:divsChild>
        </w:div>
        <w:div w:id="628168921">
          <w:marLeft w:val="0"/>
          <w:marRight w:val="0"/>
          <w:marTop w:val="0"/>
          <w:marBottom w:val="0"/>
          <w:divBdr>
            <w:top w:val="none" w:sz="0" w:space="0" w:color="auto"/>
            <w:left w:val="none" w:sz="0" w:space="0" w:color="auto"/>
            <w:bottom w:val="none" w:sz="0" w:space="0" w:color="auto"/>
            <w:right w:val="none" w:sz="0" w:space="0" w:color="auto"/>
          </w:divBdr>
          <w:divsChild>
            <w:div w:id="263072278">
              <w:marLeft w:val="0"/>
              <w:marRight w:val="0"/>
              <w:marTop w:val="0"/>
              <w:marBottom w:val="0"/>
              <w:divBdr>
                <w:top w:val="none" w:sz="0" w:space="0" w:color="auto"/>
                <w:left w:val="none" w:sz="0" w:space="0" w:color="auto"/>
                <w:bottom w:val="none" w:sz="0" w:space="0" w:color="auto"/>
                <w:right w:val="none" w:sz="0" w:space="0" w:color="auto"/>
              </w:divBdr>
            </w:div>
            <w:div w:id="348456232">
              <w:marLeft w:val="0"/>
              <w:marRight w:val="0"/>
              <w:marTop w:val="0"/>
              <w:marBottom w:val="0"/>
              <w:divBdr>
                <w:top w:val="none" w:sz="0" w:space="0" w:color="auto"/>
                <w:left w:val="none" w:sz="0" w:space="0" w:color="auto"/>
                <w:bottom w:val="none" w:sz="0" w:space="0" w:color="auto"/>
                <w:right w:val="none" w:sz="0" w:space="0" w:color="auto"/>
              </w:divBdr>
            </w:div>
            <w:div w:id="467625462">
              <w:marLeft w:val="0"/>
              <w:marRight w:val="0"/>
              <w:marTop w:val="0"/>
              <w:marBottom w:val="0"/>
              <w:divBdr>
                <w:top w:val="none" w:sz="0" w:space="0" w:color="auto"/>
                <w:left w:val="none" w:sz="0" w:space="0" w:color="auto"/>
                <w:bottom w:val="none" w:sz="0" w:space="0" w:color="auto"/>
                <w:right w:val="none" w:sz="0" w:space="0" w:color="auto"/>
              </w:divBdr>
            </w:div>
            <w:div w:id="687489990">
              <w:marLeft w:val="0"/>
              <w:marRight w:val="0"/>
              <w:marTop w:val="0"/>
              <w:marBottom w:val="0"/>
              <w:divBdr>
                <w:top w:val="none" w:sz="0" w:space="0" w:color="auto"/>
                <w:left w:val="none" w:sz="0" w:space="0" w:color="auto"/>
                <w:bottom w:val="none" w:sz="0" w:space="0" w:color="auto"/>
                <w:right w:val="none" w:sz="0" w:space="0" w:color="auto"/>
              </w:divBdr>
            </w:div>
            <w:div w:id="760683418">
              <w:marLeft w:val="0"/>
              <w:marRight w:val="0"/>
              <w:marTop w:val="0"/>
              <w:marBottom w:val="0"/>
              <w:divBdr>
                <w:top w:val="none" w:sz="0" w:space="0" w:color="auto"/>
                <w:left w:val="none" w:sz="0" w:space="0" w:color="auto"/>
                <w:bottom w:val="none" w:sz="0" w:space="0" w:color="auto"/>
                <w:right w:val="none" w:sz="0" w:space="0" w:color="auto"/>
              </w:divBdr>
            </w:div>
            <w:div w:id="1237591927">
              <w:marLeft w:val="0"/>
              <w:marRight w:val="0"/>
              <w:marTop w:val="0"/>
              <w:marBottom w:val="0"/>
              <w:divBdr>
                <w:top w:val="none" w:sz="0" w:space="0" w:color="auto"/>
                <w:left w:val="none" w:sz="0" w:space="0" w:color="auto"/>
                <w:bottom w:val="none" w:sz="0" w:space="0" w:color="auto"/>
                <w:right w:val="none" w:sz="0" w:space="0" w:color="auto"/>
              </w:divBdr>
            </w:div>
            <w:div w:id="2108193250">
              <w:marLeft w:val="0"/>
              <w:marRight w:val="0"/>
              <w:marTop w:val="0"/>
              <w:marBottom w:val="0"/>
              <w:divBdr>
                <w:top w:val="none" w:sz="0" w:space="0" w:color="auto"/>
                <w:left w:val="none" w:sz="0" w:space="0" w:color="auto"/>
                <w:bottom w:val="none" w:sz="0" w:space="0" w:color="auto"/>
                <w:right w:val="none" w:sz="0" w:space="0" w:color="auto"/>
              </w:divBdr>
            </w:div>
          </w:divsChild>
        </w:div>
        <w:div w:id="777020201">
          <w:marLeft w:val="0"/>
          <w:marRight w:val="0"/>
          <w:marTop w:val="0"/>
          <w:marBottom w:val="0"/>
          <w:divBdr>
            <w:top w:val="none" w:sz="0" w:space="0" w:color="auto"/>
            <w:left w:val="none" w:sz="0" w:space="0" w:color="auto"/>
            <w:bottom w:val="none" w:sz="0" w:space="0" w:color="auto"/>
            <w:right w:val="none" w:sz="0" w:space="0" w:color="auto"/>
          </w:divBdr>
          <w:divsChild>
            <w:div w:id="57948278">
              <w:marLeft w:val="0"/>
              <w:marRight w:val="0"/>
              <w:marTop w:val="0"/>
              <w:marBottom w:val="0"/>
              <w:divBdr>
                <w:top w:val="none" w:sz="0" w:space="0" w:color="auto"/>
                <w:left w:val="none" w:sz="0" w:space="0" w:color="auto"/>
                <w:bottom w:val="none" w:sz="0" w:space="0" w:color="auto"/>
                <w:right w:val="none" w:sz="0" w:space="0" w:color="auto"/>
              </w:divBdr>
            </w:div>
            <w:div w:id="244457818">
              <w:marLeft w:val="0"/>
              <w:marRight w:val="0"/>
              <w:marTop w:val="0"/>
              <w:marBottom w:val="0"/>
              <w:divBdr>
                <w:top w:val="none" w:sz="0" w:space="0" w:color="auto"/>
                <w:left w:val="none" w:sz="0" w:space="0" w:color="auto"/>
                <w:bottom w:val="none" w:sz="0" w:space="0" w:color="auto"/>
                <w:right w:val="none" w:sz="0" w:space="0" w:color="auto"/>
              </w:divBdr>
            </w:div>
            <w:div w:id="381372324">
              <w:marLeft w:val="0"/>
              <w:marRight w:val="0"/>
              <w:marTop w:val="0"/>
              <w:marBottom w:val="0"/>
              <w:divBdr>
                <w:top w:val="none" w:sz="0" w:space="0" w:color="auto"/>
                <w:left w:val="none" w:sz="0" w:space="0" w:color="auto"/>
                <w:bottom w:val="none" w:sz="0" w:space="0" w:color="auto"/>
                <w:right w:val="none" w:sz="0" w:space="0" w:color="auto"/>
              </w:divBdr>
            </w:div>
            <w:div w:id="635379724">
              <w:marLeft w:val="0"/>
              <w:marRight w:val="0"/>
              <w:marTop w:val="0"/>
              <w:marBottom w:val="0"/>
              <w:divBdr>
                <w:top w:val="none" w:sz="0" w:space="0" w:color="auto"/>
                <w:left w:val="none" w:sz="0" w:space="0" w:color="auto"/>
                <w:bottom w:val="none" w:sz="0" w:space="0" w:color="auto"/>
                <w:right w:val="none" w:sz="0" w:space="0" w:color="auto"/>
              </w:divBdr>
            </w:div>
            <w:div w:id="660499486">
              <w:marLeft w:val="0"/>
              <w:marRight w:val="0"/>
              <w:marTop w:val="0"/>
              <w:marBottom w:val="0"/>
              <w:divBdr>
                <w:top w:val="none" w:sz="0" w:space="0" w:color="auto"/>
                <w:left w:val="none" w:sz="0" w:space="0" w:color="auto"/>
                <w:bottom w:val="none" w:sz="0" w:space="0" w:color="auto"/>
                <w:right w:val="none" w:sz="0" w:space="0" w:color="auto"/>
              </w:divBdr>
            </w:div>
            <w:div w:id="1630740503">
              <w:marLeft w:val="0"/>
              <w:marRight w:val="0"/>
              <w:marTop w:val="0"/>
              <w:marBottom w:val="0"/>
              <w:divBdr>
                <w:top w:val="none" w:sz="0" w:space="0" w:color="auto"/>
                <w:left w:val="none" w:sz="0" w:space="0" w:color="auto"/>
                <w:bottom w:val="none" w:sz="0" w:space="0" w:color="auto"/>
                <w:right w:val="none" w:sz="0" w:space="0" w:color="auto"/>
              </w:divBdr>
            </w:div>
            <w:div w:id="1785147023">
              <w:marLeft w:val="0"/>
              <w:marRight w:val="0"/>
              <w:marTop w:val="0"/>
              <w:marBottom w:val="0"/>
              <w:divBdr>
                <w:top w:val="none" w:sz="0" w:space="0" w:color="auto"/>
                <w:left w:val="none" w:sz="0" w:space="0" w:color="auto"/>
                <w:bottom w:val="none" w:sz="0" w:space="0" w:color="auto"/>
                <w:right w:val="none" w:sz="0" w:space="0" w:color="auto"/>
              </w:divBdr>
            </w:div>
          </w:divsChild>
        </w:div>
        <w:div w:id="834491510">
          <w:marLeft w:val="0"/>
          <w:marRight w:val="0"/>
          <w:marTop w:val="0"/>
          <w:marBottom w:val="0"/>
          <w:divBdr>
            <w:top w:val="none" w:sz="0" w:space="0" w:color="auto"/>
            <w:left w:val="none" w:sz="0" w:space="0" w:color="auto"/>
            <w:bottom w:val="none" w:sz="0" w:space="0" w:color="auto"/>
            <w:right w:val="none" w:sz="0" w:space="0" w:color="auto"/>
          </w:divBdr>
          <w:divsChild>
            <w:div w:id="110056185">
              <w:marLeft w:val="0"/>
              <w:marRight w:val="0"/>
              <w:marTop w:val="0"/>
              <w:marBottom w:val="0"/>
              <w:divBdr>
                <w:top w:val="none" w:sz="0" w:space="0" w:color="auto"/>
                <w:left w:val="none" w:sz="0" w:space="0" w:color="auto"/>
                <w:bottom w:val="none" w:sz="0" w:space="0" w:color="auto"/>
                <w:right w:val="none" w:sz="0" w:space="0" w:color="auto"/>
              </w:divBdr>
            </w:div>
            <w:div w:id="336075761">
              <w:marLeft w:val="0"/>
              <w:marRight w:val="0"/>
              <w:marTop w:val="0"/>
              <w:marBottom w:val="0"/>
              <w:divBdr>
                <w:top w:val="none" w:sz="0" w:space="0" w:color="auto"/>
                <w:left w:val="none" w:sz="0" w:space="0" w:color="auto"/>
                <w:bottom w:val="none" w:sz="0" w:space="0" w:color="auto"/>
                <w:right w:val="none" w:sz="0" w:space="0" w:color="auto"/>
              </w:divBdr>
            </w:div>
            <w:div w:id="619409904">
              <w:marLeft w:val="0"/>
              <w:marRight w:val="0"/>
              <w:marTop w:val="0"/>
              <w:marBottom w:val="0"/>
              <w:divBdr>
                <w:top w:val="none" w:sz="0" w:space="0" w:color="auto"/>
                <w:left w:val="none" w:sz="0" w:space="0" w:color="auto"/>
                <w:bottom w:val="none" w:sz="0" w:space="0" w:color="auto"/>
                <w:right w:val="none" w:sz="0" w:space="0" w:color="auto"/>
              </w:divBdr>
            </w:div>
            <w:div w:id="764426565">
              <w:marLeft w:val="0"/>
              <w:marRight w:val="0"/>
              <w:marTop w:val="0"/>
              <w:marBottom w:val="0"/>
              <w:divBdr>
                <w:top w:val="none" w:sz="0" w:space="0" w:color="auto"/>
                <w:left w:val="none" w:sz="0" w:space="0" w:color="auto"/>
                <w:bottom w:val="none" w:sz="0" w:space="0" w:color="auto"/>
                <w:right w:val="none" w:sz="0" w:space="0" w:color="auto"/>
              </w:divBdr>
            </w:div>
            <w:div w:id="1132866886">
              <w:marLeft w:val="0"/>
              <w:marRight w:val="0"/>
              <w:marTop w:val="0"/>
              <w:marBottom w:val="0"/>
              <w:divBdr>
                <w:top w:val="none" w:sz="0" w:space="0" w:color="auto"/>
                <w:left w:val="none" w:sz="0" w:space="0" w:color="auto"/>
                <w:bottom w:val="none" w:sz="0" w:space="0" w:color="auto"/>
                <w:right w:val="none" w:sz="0" w:space="0" w:color="auto"/>
              </w:divBdr>
            </w:div>
            <w:div w:id="1793475826">
              <w:marLeft w:val="0"/>
              <w:marRight w:val="0"/>
              <w:marTop w:val="0"/>
              <w:marBottom w:val="0"/>
              <w:divBdr>
                <w:top w:val="none" w:sz="0" w:space="0" w:color="auto"/>
                <w:left w:val="none" w:sz="0" w:space="0" w:color="auto"/>
                <w:bottom w:val="none" w:sz="0" w:space="0" w:color="auto"/>
                <w:right w:val="none" w:sz="0" w:space="0" w:color="auto"/>
              </w:divBdr>
            </w:div>
            <w:div w:id="1908690283">
              <w:marLeft w:val="0"/>
              <w:marRight w:val="0"/>
              <w:marTop w:val="0"/>
              <w:marBottom w:val="0"/>
              <w:divBdr>
                <w:top w:val="none" w:sz="0" w:space="0" w:color="auto"/>
                <w:left w:val="none" w:sz="0" w:space="0" w:color="auto"/>
                <w:bottom w:val="none" w:sz="0" w:space="0" w:color="auto"/>
                <w:right w:val="none" w:sz="0" w:space="0" w:color="auto"/>
              </w:divBdr>
            </w:div>
          </w:divsChild>
        </w:div>
        <w:div w:id="873616109">
          <w:marLeft w:val="0"/>
          <w:marRight w:val="0"/>
          <w:marTop w:val="0"/>
          <w:marBottom w:val="0"/>
          <w:divBdr>
            <w:top w:val="none" w:sz="0" w:space="0" w:color="auto"/>
            <w:left w:val="none" w:sz="0" w:space="0" w:color="auto"/>
            <w:bottom w:val="none" w:sz="0" w:space="0" w:color="auto"/>
            <w:right w:val="none" w:sz="0" w:space="0" w:color="auto"/>
          </w:divBdr>
          <w:divsChild>
            <w:div w:id="315112935">
              <w:marLeft w:val="0"/>
              <w:marRight w:val="0"/>
              <w:marTop w:val="0"/>
              <w:marBottom w:val="0"/>
              <w:divBdr>
                <w:top w:val="none" w:sz="0" w:space="0" w:color="auto"/>
                <w:left w:val="none" w:sz="0" w:space="0" w:color="auto"/>
                <w:bottom w:val="none" w:sz="0" w:space="0" w:color="auto"/>
                <w:right w:val="none" w:sz="0" w:space="0" w:color="auto"/>
              </w:divBdr>
            </w:div>
            <w:div w:id="639657250">
              <w:marLeft w:val="0"/>
              <w:marRight w:val="0"/>
              <w:marTop w:val="0"/>
              <w:marBottom w:val="0"/>
              <w:divBdr>
                <w:top w:val="none" w:sz="0" w:space="0" w:color="auto"/>
                <w:left w:val="none" w:sz="0" w:space="0" w:color="auto"/>
                <w:bottom w:val="none" w:sz="0" w:space="0" w:color="auto"/>
                <w:right w:val="none" w:sz="0" w:space="0" w:color="auto"/>
              </w:divBdr>
            </w:div>
            <w:div w:id="703024421">
              <w:marLeft w:val="0"/>
              <w:marRight w:val="0"/>
              <w:marTop w:val="0"/>
              <w:marBottom w:val="0"/>
              <w:divBdr>
                <w:top w:val="none" w:sz="0" w:space="0" w:color="auto"/>
                <w:left w:val="none" w:sz="0" w:space="0" w:color="auto"/>
                <w:bottom w:val="none" w:sz="0" w:space="0" w:color="auto"/>
                <w:right w:val="none" w:sz="0" w:space="0" w:color="auto"/>
              </w:divBdr>
            </w:div>
            <w:div w:id="1321349324">
              <w:marLeft w:val="0"/>
              <w:marRight w:val="0"/>
              <w:marTop w:val="0"/>
              <w:marBottom w:val="0"/>
              <w:divBdr>
                <w:top w:val="none" w:sz="0" w:space="0" w:color="auto"/>
                <w:left w:val="none" w:sz="0" w:space="0" w:color="auto"/>
                <w:bottom w:val="none" w:sz="0" w:space="0" w:color="auto"/>
                <w:right w:val="none" w:sz="0" w:space="0" w:color="auto"/>
              </w:divBdr>
            </w:div>
            <w:div w:id="1436511528">
              <w:marLeft w:val="0"/>
              <w:marRight w:val="0"/>
              <w:marTop w:val="0"/>
              <w:marBottom w:val="0"/>
              <w:divBdr>
                <w:top w:val="none" w:sz="0" w:space="0" w:color="auto"/>
                <w:left w:val="none" w:sz="0" w:space="0" w:color="auto"/>
                <w:bottom w:val="none" w:sz="0" w:space="0" w:color="auto"/>
                <w:right w:val="none" w:sz="0" w:space="0" w:color="auto"/>
              </w:divBdr>
            </w:div>
            <w:div w:id="1750930569">
              <w:marLeft w:val="0"/>
              <w:marRight w:val="0"/>
              <w:marTop w:val="0"/>
              <w:marBottom w:val="0"/>
              <w:divBdr>
                <w:top w:val="none" w:sz="0" w:space="0" w:color="auto"/>
                <w:left w:val="none" w:sz="0" w:space="0" w:color="auto"/>
                <w:bottom w:val="none" w:sz="0" w:space="0" w:color="auto"/>
                <w:right w:val="none" w:sz="0" w:space="0" w:color="auto"/>
              </w:divBdr>
            </w:div>
          </w:divsChild>
        </w:div>
        <w:div w:id="1002733464">
          <w:marLeft w:val="0"/>
          <w:marRight w:val="0"/>
          <w:marTop w:val="0"/>
          <w:marBottom w:val="0"/>
          <w:divBdr>
            <w:top w:val="none" w:sz="0" w:space="0" w:color="auto"/>
            <w:left w:val="none" w:sz="0" w:space="0" w:color="auto"/>
            <w:bottom w:val="none" w:sz="0" w:space="0" w:color="auto"/>
            <w:right w:val="none" w:sz="0" w:space="0" w:color="auto"/>
          </w:divBdr>
          <w:divsChild>
            <w:div w:id="58675995">
              <w:marLeft w:val="0"/>
              <w:marRight w:val="0"/>
              <w:marTop w:val="0"/>
              <w:marBottom w:val="0"/>
              <w:divBdr>
                <w:top w:val="none" w:sz="0" w:space="0" w:color="auto"/>
                <w:left w:val="none" w:sz="0" w:space="0" w:color="auto"/>
                <w:bottom w:val="none" w:sz="0" w:space="0" w:color="auto"/>
                <w:right w:val="none" w:sz="0" w:space="0" w:color="auto"/>
              </w:divBdr>
            </w:div>
            <w:div w:id="201483257">
              <w:marLeft w:val="0"/>
              <w:marRight w:val="0"/>
              <w:marTop w:val="0"/>
              <w:marBottom w:val="0"/>
              <w:divBdr>
                <w:top w:val="none" w:sz="0" w:space="0" w:color="auto"/>
                <w:left w:val="none" w:sz="0" w:space="0" w:color="auto"/>
                <w:bottom w:val="none" w:sz="0" w:space="0" w:color="auto"/>
                <w:right w:val="none" w:sz="0" w:space="0" w:color="auto"/>
              </w:divBdr>
            </w:div>
            <w:div w:id="934439328">
              <w:marLeft w:val="0"/>
              <w:marRight w:val="0"/>
              <w:marTop w:val="0"/>
              <w:marBottom w:val="0"/>
              <w:divBdr>
                <w:top w:val="none" w:sz="0" w:space="0" w:color="auto"/>
                <w:left w:val="none" w:sz="0" w:space="0" w:color="auto"/>
                <w:bottom w:val="none" w:sz="0" w:space="0" w:color="auto"/>
                <w:right w:val="none" w:sz="0" w:space="0" w:color="auto"/>
              </w:divBdr>
            </w:div>
            <w:div w:id="1129321488">
              <w:marLeft w:val="0"/>
              <w:marRight w:val="0"/>
              <w:marTop w:val="0"/>
              <w:marBottom w:val="0"/>
              <w:divBdr>
                <w:top w:val="none" w:sz="0" w:space="0" w:color="auto"/>
                <w:left w:val="none" w:sz="0" w:space="0" w:color="auto"/>
                <w:bottom w:val="none" w:sz="0" w:space="0" w:color="auto"/>
                <w:right w:val="none" w:sz="0" w:space="0" w:color="auto"/>
              </w:divBdr>
            </w:div>
            <w:div w:id="1153177615">
              <w:marLeft w:val="0"/>
              <w:marRight w:val="0"/>
              <w:marTop w:val="0"/>
              <w:marBottom w:val="0"/>
              <w:divBdr>
                <w:top w:val="none" w:sz="0" w:space="0" w:color="auto"/>
                <w:left w:val="none" w:sz="0" w:space="0" w:color="auto"/>
                <w:bottom w:val="none" w:sz="0" w:space="0" w:color="auto"/>
                <w:right w:val="none" w:sz="0" w:space="0" w:color="auto"/>
              </w:divBdr>
            </w:div>
            <w:div w:id="1191332984">
              <w:marLeft w:val="0"/>
              <w:marRight w:val="0"/>
              <w:marTop w:val="0"/>
              <w:marBottom w:val="0"/>
              <w:divBdr>
                <w:top w:val="none" w:sz="0" w:space="0" w:color="auto"/>
                <w:left w:val="none" w:sz="0" w:space="0" w:color="auto"/>
                <w:bottom w:val="none" w:sz="0" w:space="0" w:color="auto"/>
                <w:right w:val="none" w:sz="0" w:space="0" w:color="auto"/>
              </w:divBdr>
            </w:div>
            <w:div w:id="1905943429">
              <w:marLeft w:val="0"/>
              <w:marRight w:val="0"/>
              <w:marTop w:val="0"/>
              <w:marBottom w:val="0"/>
              <w:divBdr>
                <w:top w:val="none" w:sz="0" w:space="0" w:color="auto"/>
                <w:left w:val="none" w:sz="0" w:space="0" w:color="auto"/>
                <w:bottom w:val="none" w:sz="0" w:space="0" w:color="auto"/>
                <w:right w:val="none" w:sz="0" w:space="0" w:color="auto"/>
              </w:divBdr>
            </w:div>
            <w:div w:id="2130275626">
              <w:marLeft w:val="0"/>
              <w:marRight w:val="0"/>
              <w:marTop w:val="0"/>
              <w:marBottom w:val="0"/>
              <w:divBdr>
                <w:top w:val="none" w:sz="0" w:space="0" w:color="auto"/>
                <w:left w:val="none" w:sz="0" w:space="0" w:color="auto"/>
                <w:bottom w:val="none" w:sz="0" w:space="0" w:color="auto"/>
                <w:right w:val="none" w:sz="0" w:space="0" w:color="auto"/>
              </w:divBdr>
            </w:div>
          </w:divsChild>
        </w:div>
        <w:div w:id="1009679530">
          <w:marLeft w:val="0"/>
          <w:marRight w:val="0"/>
          <w:marTop w:val="0"/>
          <w:marBottom w:val="0"/>
          <w:divBdr>
            <w:top w:val="none" w:sz="0" w:space="0" w:color="auto"/>
            <w:left w:val="none" w:sz="0" w:space="0" w:color="auto"/>
            <w:bottom w:val="none" w:sz="0" w:space="0" w:color="auto"/>
            <w:right w:val="none" w:sz="0" w:space="0" w:color="auto"/>
          </w:divBdr>
          <w:divsChild>
            <w:div w:id="1684897754">
              <w:marLeft w:val="0"/>
              <w:marRight w:val="0"/>
              <w:marTop w:val="0"/>
              <w:marBottom w:val="0"/>
              <w:divBdr>
                <w:top w:val="none" w:sz="0" w:space="0" w:color="auto"/>
                <w:left w:val="none" w:sz="0" w:space="0" w:color="auto"/>
                <w:bottom w:val="none" w:sz="0" w:space="0" w:color="auto"/>
                <w:right w:val="none" w:sz="0" w:space="0" w:color="auto"/>
              </w:divBdr>
            </w:div>
            <w:div w:id="1887714618">
              <w:marLeft w:val="0"/>
              <w:marRight w:val="0"/>
              <w:marTop w:val="0"/>
              <w:marBottom w:val="0"/>
              <w:divBdr>
                <w:top w:val="none" w:sz="0" w:space="0" w:color="auto"/>
                <w:left w:val="none" w:sz="0" w:space="0" w:color="auto"/>
                <w:bottom w:val="none" w:sz="0" w:space="0" w:color="auto"/>
                <w:right w:val="none" w:sz="0" w:space="0" w:color="auto"/>
              </w:divBdr>
            </w:div>
            <w:div w:id="1921060746">
              <w:marLeft w:val="0"/>
              <w:marRight w:val="0"/>
              <w:marTop w:val="0"/>
              <w:marBottom w:val="0"/>
              <w:divBdr>
                <w:top w:val="none" w:sz="0" w:space="0" w:color="auto"/>
                <w:left w:val="none" w:sz="0" w:space="0" w:color="auto"/>
                <w:bottom w:val="none" w:sz="0" w:space="0" w:color="auto"/>
                <w:right w:val="none" w:sz="0" w:space="0" w:color="auto"/>
              </w:divBdr>
            </w:div>
            <w:div w:id="2029481294">
              <w:marLeft w:val="0"/>
              <w:marRight w:val="0"/>
              <w:marTop w:val="0"/>
              <w:marBottom w:val="0"/>
              <w:divBdr>
                <w:top w:val="none" w:sz="0" w:space="0" w:color="auto"/>
                <w:left w:val="none" w:sz="0" w:space="0" w:color="auto"/>
                <w:bottom w:val="none" w:sz="0" w:space="0" w:color="auto"/>
                <w:right w:val="none" w:sz="0" w:space="0" w:color="auto"/>
              </w:divBdr>
            </w:div>
            <w:div w:id="2133206205">
              <w:marLeft w:val="0"/>
              <w:marRight w:val="0"/>
              <w:marTop w:val="0"/>
              <w:marBottom w:val="0"/>
              <w:divBdr>
                <w:top w:val="none" w:sz="0" w:space="0" w:color="auto"/>
                <w:left w:val="none" w:sz="0" w:space="0" w:color="auto"/>
                <w:bottom w:val="none" w:sz="0" w:space="0" w:color="auto"/>
                <w:right w:val="none" w:sz="0" w:space="0" w:color="auto"/>
              </w:divBdr>
            </w:div>
          </w:divsChild>
        </w:div>
        <w:div w:id="1097366404">
          <w:marLeft w:val="0"/>
          <w:marRight w:val="0"/>
          <w:marTop w:val="0"/>
          <w:marBottom w:val="0"/>
          <w:divBdr>
            <w:top w:val="none" w:sz="0" w:space="0" w:color="auto"/>
            <w:left w:val="none" w:sz="0" w:space="0" w:color="auto"/>
            <w:bottom w:val="none" w:sz="0" w:space="0" w:color="auto"/>
            <w:right w:val="none" w:sz="0" w:space="0" w:color="auto"/>
          </w:divBdr>
          <w:divsChild>
            <w:div w:id="976765205">
              <w:marLeft w:val="0"/>
              <w:marRight w:val="0"/>
              <w:marTop w:val="0"/>
              <w:marBottom w:val="0"/>
              <w:divBdr>
                <w:top w:val="none" w:sz="0" w:space="0" w:color="auto"/>
                <w:left w:val="none" w:sz="0" w:space="0" w:color="auto"/>
                <w:bottom w:val="none" w:sz="0" w:space="0" w:color="auto"/>
                <w:right w:val="none" w:sz="0" w:space="0" w:color="auto"/>
              </w:divBdr>
            </w:div>
            <w:div w:id="1266422338">
              <w:marLeft w:val="0"/>
              <w:marRight w:val="0"/>
              <w:marTop w:val="0"/>
              <w:marBottom w:val="0"/>
              <w:divBdr>
                <w:top w:val="none" w:sz="0" w:space="0" w:color="auto"/>
                <w:left w:val="none" w:sz="0" w:space="0" w:color="auto"/>
                <w:bottom w:val="none" w:sz="0" w:space="0" w:color="auto"/>
                <w:right w:val="none" w:sz="0" w:space="0" w:color="auto"/>
              </w:divBdr>
            </w:div>
            <w:div w:id="1366103502">
              <w:marLeft w:val="0"/>
              <w:marRight w:val="0"/>
              <w:marTop w:val="0"/>
              <w:marBottom w:val="0"/>
              <w:divBdr>
                <w:top w:val="none" w:sz="0" w:space="0" w:color="auto"/>
                <w:left w:val="none" w:sz="0" w:space="0" w:color="auto"/>
                <w:bottom w:val="none" w:sz="0" w:space="0" w:color="auto"/>
                <w:right w:val="none" w:sz="0" w:space="0" w:color="auto"/>
              </w:divBdr>
            </w:div>
            <w:div w:id="1558736615">
              <w:marLeft w:val="0"/>
              <w:marRight w:val="0"/>
              <w:marTop w:val="0"/>
              <w:marBottom w:val="0"/>
              <w:divBdr>
                <w:top w:val="none" w:sz="0" w:space="0" w:color="auto"/>
                <w:left w:val="none" w:sz="0" w:space="0" w:color="auto"/>
                <w:bottom w:val="none" w:sz="0" w:space="0" w:color="auto"/>
                <w:right w:val="none" w:sz="0" w:space="0" w:color="auto"/>
              </w:divBdr>
            </w:div>
            <w:div w:id="1874809950">
              <w:marLeft w:val="0"/>
              <w:marRight w:val="0"/>
              <w:marTop w:val="0"/>
              <w:marBottom w:val="0"/>
              <w:divBdr>
                <w:top w:val="none" w:sz="0" w:space="0" w:color="auto"/>
                <w:left w:val="none" w:sz="0" w:space="0" w:color="auto"/>
                <w:bottom w:val="none" w:sz="0" w:space="0" w:color="auto"/>
                <w:right w:val="none" w:sz="0" w:space="0" w:color="auto"/>
              </w:divBdr>
            </w:div>
            <w:div w:id="1906866865">
              <w:marLeft w:val="0"/>
              <w:marRight w:val="0"/>
              <w:marTop w:val="0"/>
              <w:marBottom w:val="0"/>
              <w:divBdr>
                <w:top w:val="none" w:sz="0" w:space="0" w:color="auto"/>
                <w:left w:val="none" w:sz="0" w:space="0" w:color="auto"/>
                <w:bottom w:val="none" w:sz="0" w:space="0" w:color="auto"/>
                <w:right w:val="none" w:sz="0" w:space="0" w:color="auto"/>
              </w:divBdr>
            </w:div>
            <w:div w:id="2048330895">
              <w:marLeft w:val="0"/>
              <w:marRight w:val="0"/>
              <w:marTop w:val="0"/>
              <w:marBottom w:val="0"/>
              <w:divBdr>
                <w:top w:val="none" w:sz="0" w:space="0" w:color="auto"/>
                <w:left w:val="none" w:sz="0" w:space="0" w:color="auto"/>
                <w:bottom w:val="none" w:sz="0" w:space="0" w:color="auto"/>
                <w:right w:val="none" w:sz="0" w:space="0" w:color="auto"/>
              </w:divBdr>
            </w:div>
            <w:div w:id="2147314840">
              <w:marLeft w:val="0"/>
              <w:marRight w:val="0"/>
              <w:marTop w:val="0"/>
              <w:marBottom w:val="0"/>
              <w:divBdr>
                <w:top w:val="none" w:sz="0" w:space="0" w:color="auto"/>
                <w:left w:val="none" w:sz="0" w:space="0" w:color="auto"/>
                <w:bottom w:val="none" w:sz="0" w:space="0" w:color="auto"/>
                <w:right w:val="none" w:sz="0" w:space="0" w:color="auto"/>
              </w:divBdr>
            </w:div>
          </w:divsChild>
        </w:div>
        <w:div w:id="1182012390">
          <w:marLeft w:val="0"/>
          <w:marRight w:val="0"/>
          <w:marTop w:val="0"/>
          <w:marBottom w:val="0"/>
          <w:divBdr>
            <w:top w:val="none" w:sz="0" w:space="0" w:color="auto"/>
            <w:left w:val="none" w:sz="0" w:space="0" w:color="auto"/>
            <w:bottom w:val="none" w:sz="0" w:space="0" w:color="auto"/>
            <w:right w:val="none" w:sz="0" w:space="0" w:color="auto"/>
          </w:divBdr>
          <w:divsChild>
            <w:div w:id="268663054">
              <w:marLeft w:val="0"/>
              <w:marRight w:val="0"/>
              <w:marTop w:val="0"/>
              <w:marBottom w:val="0"/>
              <w:divBdr>
                <w:top w:val="none" w:sz="0" w:space="0" w:color="auto"/>
                <w:left w:val="none" w:sz="0" w:space="0" w:color="auto"/>
                <w:bottom w:val="none" w:sz="0" w:space="0" w:color="auto"/>
                <w:right w:val="none" w:sz="0" w:space="0" w:color="auto"/>
              </w:divBdr>
            </w:div>
          </w:divsChild>
        </w:div>
        <w:div w:id="1329480328">
          <w:marLeft w:val="0"/>
          <w:marRight w:val="0"/>
          <w:marTop w:val="0"/>
          <w:marBottom w:val="0"/>
          <w:divBdr>
            <w:top w:val="none" w:sz="0" w:space="0" w:color="auto"/>
            <w:left w:val="none" w:sz="0" w:space="0" w:color="auto"/>
            <w:bottom w:val="none" w:sz="0" w:space="0" w:color="auto"/>
            <w:right w:val="none" w:sz="0" w:space="0" w:color="auto"/>
          </w:divBdr>
          <w:divsChild>
            <w:div w:id="302392570">
              <w:marLeft w:val="0"/>
              <w:marRight w:val="0"/>
              <w:marTop w:val="0"/>
              <w:marBottom w:val="0"/>
              <w:divBdr>
                <w:top w:val="none" w:sz="0" w:space="0" w:color="auto"/>
                <w:left w:val="none" w:sz="0" w:space="0" w:color="auto"/>
                <w:bottom w:val="none" w:sz="0" w:space="0" w:color="auto"/>
                <w:right w:val="none" w:sz="0" w:space="0" w:color="auto"/>
              </w:divBdr>
            </w:div>
            <w:div w:id="386496979">
              <w:marLeft w:val="0"/>
              <w:marRight w:val="0"/>
              <w:marTop w:val="0"/>
              <w:marBottom w:val="0"/>
              <w:divBdr>
                <w:top w:val="none" w:sz="0" w:space="0" w:color="auto"/>
                <w:left w:val="none" w:sz="0" w:space="0" w:color="auto"/>
                <w:bottom w:val="none" w:sz="0" w:space="0" w:color="auto"/>
                <w:right w:val="none" w:sz="0" w:space="0" w:color="auto"/>
              </w:divBdr>
            </w:div>
            <w:div w:id="530000859">
              <w:marLeft w:val="0"/>
              <w:marRight w:val="0"/>
              <w:marTop w:val="0"/>
              <w:marBottom w:val="0"/>
              <w:divBdr>
                <w:top w:val="none" w:sz="0" w:space="0" w:color="auto"/>
                <w:left w:val="none" w:sz="0" w:space="0" w:color="auto"/>
                <w:bottom w:val="none" w:sz="0" w:space="0" w:color="auto"/>
                <w:right w:val="none" w:sz="0" w:space="0" w:color="auto"/>
              </w:divBdr>
            </w:div>
            <w:div w:id="530803443">
              <w:marLeft w:val="0"/>
              <w:marRight w:val="0"/>
              <w:marTop w:val="0"/>
              <w:marBottom w:val="0"/>
              <w:divBdr>
                <w:top w:val="none" w:sz="0" w:space="0" w:color="auto"/>
                <w:left w:val="none" w:sz="0" w:space="0" w:color="auto"/>
                <w:bottom w:val="none" w:sz="0" w:space="0" w:color="auto"/>
                <w:right w:val="none" w:sz="0" w:space="0" w:color="auto"/>
              </w:divBdr>
            </w:div>
            <w:div w:id="551815534">
              <w:marLeft w:val="0"/>
              <w:marRight w:val="0"/>
              <w:marTop w:val="0"/>
              <w:marBottom w:val="0"/>
              <w:divBdr>
                <w:top w:val="none" w:sz="0" w:space="0" w:color="auto"/>
                <w:left w:val="none" w:sz="0" w:space="0" w:color="auto"/>
                <w:bottom w:val="none" w:sz="0" w:space="0" w:color="auto"/>
                <w:right w:val="none" w:sz="0" w:space="0" w:color="auto"/>
              </w:divBdr>
            </w:div>
            <w:div w:id="1484083172">
              <w:marLeft w:val="0"/>
              <w:marRight w:val="0"/>
              <w:marTop w:val="0"/>
              <w:marBottom w:val="0"/>
              <w:divBdr>
                <w:top w:val="none" w:sz="0" w:space="0" w:color="auto"/>
                <w:left w:val="none" w:sz="0" w:space="0" w:color="auto"/>
                <w:bottom w:val="none" w:sz="0" w:space="0" w:color="auto"/>
                <w:right w:val="none" w:sz="0" w:space="0" w:color="auto"/>
              </w:divBdr>
            </w:div>
            <w:div w:id="1649243587">
              <w:marLeft w:val="0"/>
              <w:marRight w:val="0"/>
              <w:marTop w:val="0"/>
              <w:marBottom w:val="0"/>
              <w:divBdr>
                <w:top w:val="none" w:sz="0" w:space="0" w:color="auto"/>
                <w:left w:val="none" w:sz="0" w:space="0" w:color="auto"/>
                <w:bottom w:val="none" w:sz="0" w:space="0" w:color="auto"/>
                <w:right w:val="none" w:sz="0" w:space="0" w:color="auto"/>
              </w:divBdr>
            </w:div>
            <w:div w:id="1844081820">
              <w:marLeft w:val="0"/>
              <w:marRight w:val="0"/>
              <w:marTop w:val="0"/>
              <w:marBottom w:val="0"/>
              <w:divBdr>
                <w:top w:val="none" w:sz="0" w:space="0" w:color="auto"/>
                <w:left w:val="none" w:sz="0" w:space="0" w:color="auto"/>
                <w:bottom w:val="none" w:sz="0" w:space="0" w:color="auto"/>
                <w:right w:val="none" w:sz="0" w:space="0" w:color="auto"/>
              </w:divBdr>
            </w:div>
            <w:div w:id="1850559097">
              <w:marLeft w:val="0"/>
              <w:marRight w:val="0"/>
              <w:marTop w:val="0"/>
              <w:marBottom w:val="0"/>
              <w:divBdr>
                <w:top w:val="none" w:sz="0" w:space="0" w:color="auto"/>
                <w:left w:val="none" w:sz="0" w:space="0" w:color="auto"/>
                <w:bottom w:val="none" w:sz="0" w:space="0" w:color="auto"/>
                <w:right w:val="none" w:sz="0" w:space="0" w:color="auto"/>
              </w:divBdr>
            </w:div>
            <w:div w:id="1972591882">
              <w:marLeft w:val="0"/>
              <w:marRight w:val="0"/>
              <w:marTop w:val="0"/>
              <w:marBottom w:val="0"/>
              <w:divBdr>
                <w:top w:val="none" w:sz="0" w:space="0" w:color="auto"/>
                <w:left w:val="none" w:sz="0" w:space="0" w:color="auto"/>
                <w:bottom w:val="none" w:sz="0" w:space="0" w:color="auto"/>
                <w:right w:val="none" w:sz="0" w:space="0" w:color="auto"/>
              </w:divBdr>
            </w:div>
          </w:divsChild>
        </w:div>
        <w:div w:id="1402756135">
          <w:marLeft w:val="0"/>
          <w:marRight w:val="0"/>
          <w:marTop w:val="0"/>
          <w:marBottom w:val="0"/>
          <w:divBdr>
            <w:top w:val="none" w:sz="0" w:space="0" w:color="auto"/>
            <w:left w:val="none" w:sz="0" w:space="0" w:color="auto"/>
            <w:bottom w:val="none" w:sz="0" w:space="0" w:color="auto"/>
            <w:right w:val="none" w:sz="0" w:space="0" w:color="auto"/>
          </w:divBdr>
          <w:divsChild>
            <w:div w:id="233977578">
              <w:marLeft w:val="0"/>
              <w:marRight w:val="0"/>
              <w:marTop w:val="0"/>
              <w:marBottom w:val="0"/>
              <w:divBdr>
                <w:top w:val="none" w:sz="0" w:space="0" w:color="auto"/>
                <w:left w:val="none" w:sz="0" w:space="0" w:color="auto"/>
                <w:bottom w:val="none" w:sz="0" w:space="0" w:color="auto"/>
                <w:right w:val="none" w:sz="0" w:space="0" w:color="auto"/>
              </w:divBdr>
            </w:div>
            <w:div w:id="316619177">
              <w:marLeft w:val="0"/>
              <w:marRight w:val="0"/>
              <w:marTop w:val="0"/>
              <w:marBottom w:val="0"/>
              <w:divBdr>
                <w:top w:val="none" w:sz="0" w:space="0" w:color="auto"/>
                <w:left w:val="none" w:sz="0" w:space="0" w:color="auto"/>
                <w:bottom w:val="none" w:sz="0" w:space="0" w:color="auto"/>
                <w:right w:val="none" w:sz="0" w:space="0" w:color="auto"/>
              </w:divBdr>
            </w:div>
            <w:div w:id="464007802">
              <w:marLeft w:val="0"/>
              <w:marRight w:val="0"/>
              <w:marTop w:val="0"/>
              <w:marBottom w:val="0"/>
              <w:divBdr>
                <w:top w:val="none" w:sz="0" w:space="0" w:color="auto"/>
                <w:left w:val="none" w:sz="0" w:space="0" w:color="auto"/>
                <w:bottom w:val="none" w:sz="0" w:space="0" w:color="auto"/>
                <w:right w:val="none" w:sz="0" w:space="0" w:color="auto"/>
              </w:divBdr>
            </w:div>
            <w:div w:id="638845070">
              <w:marLeft w:val="0"/>
              <w:marRight w:val="0"/>
              <w:marTop w:val="0"/>
              <w:marBottom w:val="0"/>
              <w:divBdr>
                <w:top w:val="none" w:sz="0" w:space="0" w:color="auto"/>
                <w:left w:val="none" w:sz="0" w:space="0" w:color="auto"/>
                <w:bottom w:val="none" w:sz="0" w:space="0" w:color="auto"/>
                <w:right w:val="none" w:sz="0" w:space="0" w:color="auto"/>
              </w:divBdr>
            </w:div>
            <w:div w:id="1017006605">
              <w:marLeft w:val="0"/>
              <w:marRight w:val="0"/>
              <w:marTop w:val="0"/>
              <w:marBottom w:val="0"/>
              <w:divBdr>
                <w:top w:val="none" w:sz="0" w:space="0" w:color="auto"/>
                <w:left w:val="none" w:sz="0" w:space="0" w:color="auto"/>
                <w:bottom w:val="none" w:sz="0" w:space="0" w:color="auto"/>
                <w:right w:val="none" w:sz="0" w:space="0" w:color="auto"/>
              </w:divBdr>
            </w:div>
            <w:div w:id="2077049137">
              <w:marLeft w:val="0"/>
              <w:marRight w:val="0"/>
              <w:marTop w:val="0"/>
              <w:marBottom w:val="0"/>
              <w:divBdr>
                <w:top w:val="none" w:sz="0" w:space="0" w:color="auto"/>
                <w:left w:val="none" w:sz="0" w:space="0" w:color="auto"/>
                <w:bottom w:val="none" w:sz="0" w:space="0" w:color="auto"/>
                <w:right w:val="none" w:sz="0" w:space="0" w:color="auto"/>
              </w:divBdr>
            </w:div>
          </w:divsChild>
        </w:div>
        <w:div w:id="1720593796">
          <w:marLeft w:val="0"/>
          <w:marRight w:val="0"/>
          <w:marTop w:val="0"/>
          <w:marBottom w:val="0"/>
          <w:divBdr>
            <w:top w:val="none" w:sz="0" w:space="0" w:color="auto"/>
            <w:left w:val="none" w:sz="0" w:space="0" w:color="auto"/>
            <w:bottom w:val="none" w:sz="0" w:space="0" w:color="auto"/>
            <w:right w:val="none" w:sz="0" w:space="0" w:color="auto"/>
          </w:divBdr>
          <w:divsChild>
            <w:div w:id="9765951">
              <w:marLeft w:val="0"/>
              <w:marRight w:val="0"/>
              <w:marTop w:val="0"/>
              <w:marBottom w:val="0"/>
              <w:divBdr>
                <w:top w:val="none" w:sz="0" w:space="0" w:color="auto"/>
                <w:left w:val="none" w:sz="0" w:space="0" w:color="auto"/>
                <w:bottom w:val="none" w:sz="0" w:space="0" w:color="auto"/>
                <w:right w:val="none" w:sz="0" w:space="0" w:color="auto"/>
              </w:divBdr>
            </w:div>
          </w:divsChild>
        </w:div>
        <w:div w:id="1770080618">
          <w:marLeft w:val="0"/>
          <w:marRight w:val="0"/>
          <w:marTop w:val="0"/>
          <w:marBottom w:val="0"/>
          <w:divBdr>
            <w:top w:val="none" w:sz="0" w:space="0" w:color="auto"/>
            <w:left w:val="none" w:sz="0" w:space="0" w:color="auto"/>
            <w:bottom w:val="none" w:sz="0" w:space="0" w:color="auto"/>
            <w:right w:val="none" w:sz="0" w:space="0" w:color="auto"/>
          </w:divBdr>
          <w:divsChild>
            <w:div w:id="89744345">
              <w:marLeft w:val="0"/>
              <w:marRight w:val="0"/>
              <w:marTop w:val="0"/>
              <w:marBottom w:val="0"/>
              <w:divBdr>
                <w:top w:val="none" w:sz="0" w:space="0" w:color="auto"/>
                <w:left w:val="none" w:sz="0" w:space="0" w:color="auto"/>
                <w:bottom w:val="none" w:sz="0" w:space="0" w:color="auto"/>
                <w:right w:val="none" w:sz="0" w:space="0" w:color="auto"/>
              </w:divBdr>
            </w:div>
            <w:div w:id="151944575">
              <w:marLeft w:val="0"/>
              <w:marRight w:val="0"/>
              <w:marTop w:val="0"/>
              <w:marBottom w:val="0"/>
              <w:divBdr>
                <w:top w:val="none" w:sz="0" w:space="0" w:color="auto"/>
                <w:left w:val="none" w:sz="0" w:space="0" w:color="auto"/>
                <w:bottom w:val="none" w:sz="0" w:space="0" w:color="auto"/>
                <w:right w:val="none" w:sz="0" w:space="0" w:color="auto"/>
              </w:divBdr>
            </w:div>
            <w:div w:id="233972827">
              <w:marLeft w:val="0"/>
              <w:marRight w:val="0"/>
              <w:marTop w:val="0"/>
              <w:marBottom w:val="0"/>
              <w:divBdr>
                <w:top w:val="none" w:sz="0" w:space="0" w:color="auto"/>
                <w:left w:val="none" w:sz="0" w:space="0" w:color="auto"/>
                <w:bottom w:val="none" w:sz="0" w:space="0" w:color="auto"/>
                <w:right w:val="none" w:sz="0" w:space="0" w:color="auto"/>
              </w:divBdr>
            </w:div>
            <w:div w:id="458764163">
              <w:marLeft w:val="0"/>
              <w:marRight w:val="0"/>
              <w:marTop w:val="0"/>
              <w:marBottom w:val="0"/>
              <w:divBdr>
                <w:top w:val="none" w:sz="0" w:space="0" w:color="auto"/>
                <w:left w:val="none" w:sz="0" w:space="0" w:color="auto"/>
                <w:bottom w:val="none" w:sz="0" w:space="0" w:color="auto"/>
                <w:right w:val="none" w:sz="0" w:space="0" w:color="auto"/>
              </w:divBdr>
            </w:div>
            <w:div w:id="867837357">
              <w:marLeft w:val="0"/>
              <w:marRight w:val="0"/>
              <w:marTop w:val="0"/>
              <w:marBottom w:val="0"/>
              <w:divBdr>
                <w:top w:val="none" w:sz="0" w:space="0" w:color="auto"/>
                <w:left w:val="none" w:sz="0" w:space="0" w:color="auto"/>
                <w:bottom w:val="none" w:sz="0" w:space="0" w:color="auto"/>
                <w:right w:val="none" w:sz="0" w:space="0" w:color="auto"/>
              </w:divBdr>
            </w:div>
            <w:div w:id="1293824420">
              <w:marLeft w:val="0"/>
              <w:marRight w:val="0"/>
              <w:marTop w:val="0"/>
              <w:marBottom w:val="0"/>
              <w:divBdr>
                <w:top w:val="none" w:sz="0" w:space="0" w:color="auto"/>
                <w:left w:val="none" w:sz="0" w:space="0" w:color="auto"/>
                <w:bottom w:val="none" w:sz="0" w:space="0" w:color="auto"/>
                <w:right w:val="none" w:sz="0" w:space="0" w:color="auto"/>
              </w:divBdr>
            </w:div>
            <w:div w:id="1366639065">
              <w:marLeft w:val="0"/>
              <w:marRight w:val="0"/>
              <w:marTop w:val="0"/>
              <w:marBottom w:val="0"/>
              <w:divBdr>
                <w:top w:val="none" w:sz="0" w:space="0" w:color="auto"/>
                <w:left w:val="none" w:sz="0" w:space="0" w:color="auto"/>
                <w:bottom w:val="none" w:sz="0" w:space="0" w:color="auto"/>
                <w:right w:val="none" w:sz="0" w:space="0" w:color="auto"/>
              </w:divBdr>
            </w:div>
            <w:div w:id="1643851539">
              <w:marLeft w:val="0"/>
              <w:marRight w:val="0"/>
              <w:marTop w:val="0"/>
              <w:marBottom w:val="0"/>
              <w:divBdr>
                <w:top w:val="none" w:sz="0" w:space="0" w:color="auto"/>
                <w:left w:val="none" w:sz="0" w:space="0" w:color="auto"/>
                <w:bottom w:val="none" w:sz="0" w:space="0" w:color="auto"/>
                <w:right w:val="none" w:sz="0" w:space="0" w:color="auto"/>
              </w:divBdr>
            </w:div>
            <w:div w:id="1889104323">
              <w:marLeft w:val="0"/>
              <w:marRight w:val="0"/>
              <w:marTop w:val="0"/>
              <w:marBottom w:val="0"/>
              <w:divBdr>
                <w:top w:val="none" w:sz="0" w:space="0" w:color="auto"/>
                <w:left w:val="none" w:sz="0" w:space="0" w:color="auto"/>
                <w:bottom w:val="none" w:sz="0" w:space="0" w:color="auto"/>
                <w:right w:val="none" w:sz="0" w:space="0" w:color="auto"/>
              </w:divBdr>
            </w:div>
            <w:div w:id="1900242407">
              <w:marLeft w:val="0"/>
              <w:marRight w:val="0"/>
              <w:marTop w:val="0"/>
              <w:marBottom w:val="0"/>
              <w:divBdr>
                <w:top w:val="none" w:sz="0" w:space="0" w:color="auto"/>
                <w:left w:val="none" w:sz="0" w:space="0" w:color="auto"/>
                <w:bottom w:val="none" w:sz="0" w:space="0" w:color="auto"/>
                <w:right w:val="none" w:sz="0" w:space="0" w:color="auto"/>
              </w:divBdr>
            </w:div>
          </w:divsChild>
        </w:div>
        <w:div w:id="1917663572">
          <w:marLeft w:val="0"/>
          <w:marRight w:val="0"/>
          <w:marTop w:val="0"/>
          <w:marBottom w:val="0"/>
          <w:divBdr>
            <w:top w:val="none" w:sz="0" w:space="0" w:color="auto"/>
            <w:left w:val="none" w:sz="0" w:space="0" w:color="auto"/>
            <w:bottom w:val="none" w:sz="0" w:space="0" w:color="auto"/>
            <w:right w:val="none" w:sz="0" w:space="0" w:color="auto"/>
          </w:divBdr>
          <w:divsChild>
            <w:div w:id="300111184">
              <w:marLeft w:val="0"/>
              <w:marRight w:val="0"/>
              <w:marTop w:val="0"/>
              <w:marBottom w:val="0"/>
              <w:divBdr>
                <w:top w:val="none" w:sz="0" w:space="0" w:color="auto"/>
                <w:left w:val="none" w:sz="0" w:space="0" w:color="auto"/>
                <w:bottom w:val="none" w:sz="0" w:space="0" w:color="auto"/>
                <w:right w:val="none" w:sz="0" w:space="0" w:color="auto"/>
              </w:divBdr>
            </w:div>
            <w:div w:id="537007952">
              <w:marLeft w:val="0"/>
              <w:marRight w:val="0"/>
              <w:marTop w:val="0"/>
              <w:marBottom w:val="0"/>
              <w:divBdr>
                <w:top w:val="none" w:sz="0" w:space="0" w:color="auto"/>
                <w:left w:val="none" w:sz="0" w:space="0" w:color="auto"/>
                <w:bottom w:val="none" w:sz="0" w:space="0" w:color="auto"/>
                <w:right w:val="none" w:sz="0" w:space="0" w:color="auto"/>
              </w:divBdr>
            </w:div>
            <w:div w:id="1015306449">
              <w:marLeft w:val="0"/>
              <w:marRight w:val="0"/>
              <w:marTop w:val="0"/>
              <w:marBottom w:val="0"/>
              <w:divBdr>
                <w:top w:val="none" w:sz="0" w:space="0" w:color="auto"/>
                <w:left w:val="none" w:sz="0" w:space="0" w:color="auto"/>
                <w:bottom w:val="none" w:sz="0" w:space="0" w:color="auto"/>
                <w:right w:val="none" w:sz="0" w:space="0" w:color="auto"/>
              </w:divBdr>
            </w:div>
            <w:div w:id="1581982702">
              <w:marLeft w:val="0"/>
              <w:marRight w:val="0"/>
              <w:marTop w:val="0"/>
              <w:marBottom w:val="0"/>
              <w:divBdr>
                <w:top w:val="none" w:sz="0" w:space="0" w:color="auto"/>
                <w:left w:val="none" w:sz="0" w:space="0" w:color="auto"/>
                <w:bottom w:val="none" w:sz="0" w:space="0" w:color="auto"/>
                <w:right w:val="none" w:sz="0" w:space="0" w:color="auto"/>
              </w:divBdr>
            </w:div>
            <w:div w:id="1655374599">
              <w:marLeft w:val="0"/>
              <w:marRight w:val="0"/>
              <w:marTop w:val="0"/>
              <w:marBottom w:val="0"/>
              <w:divBdr>
                <w:top w:val="none" w:sz="0" w:space="0" w:color="auto"/>
                <w:left w:val="none" w:sz="0" w:space="0" w:color="auto"/>
                <w:bottom w:val="none" w:sz="0" w:space="0" w:color="auto"/>
                <w:right w:val="none" w:sz="0" w:space="0" w:color="auto"/>
              </w:divBdr>
            </w:div>
            <w:div w:id="1753820893">
              <w:marLeft w:val="0"/>
              <w:marRight w:val="0"/>
              <w:marTop w:val="0"/>
              <w:marBottom w:val="0"/>
              <w:divBdr>
                <w:top w:val="none" w:sz="0" w:space="0" w:color="auto"/>
                <w:left w:val="none" w:sz="0" w:space="0" w:color="auto"/>
                <w:bottom w:val="none" w:sz="0" w:space="0" w:color="auto"/>
                <w:right w:val="none" w:sz="0" w:space="0" w:color="auto"/>
              </w:divBdr>
            </w:div>
            <w:div w:id="1781029655">
              <w:marLeft w:val="0"/>
              <w:marRight w:val="0"/>
              <w:marTop w:val="0"/>
              <w:marBottom w:val="0"/>
              <w:divBdr>
                <w:top w:val="none" w:sz="0" w:space="0" w:color="auto"/>
                <w:left w:val="none" w:sz="0" w:space="0" w:color="auto"/>
                <w:bottom w:val="none" w:sz="0" w:space="0" w:color="auto"/>
                <w:right w:val="none" w:sz="0" w:space="0" w:color="auto"/>
              </w:divBdr>
            </w:div>
            <w:div w:id="1992246249">
              <w:marLeft w:val="0"/>
              <w:marRight w:val="0"/>
              <w:marTop w:val="0"/>
              <w:marBottom w:val="0"/>
              <w:divBdr>
                <w:top w:val="none" w:sz="0" w:space="0" w:color="auto"/>
                <w:left w:val="none" w:sz="0" w:space="0" w:color="auto"/>
                <w:bottom w:val="none" w:sz="0" w:space="0" w:color="auto"/>
                <w:right w:val="none" w:sz="0" w:space="0" w:color="auto"/>
              </w:divBdr>
            </w:div>
          </w:divsChild>
        </w:div>
        <w:div w:id="1927030510">
          <w:marLeft w:val="0"/>
          <w:marRight w:val="0"/>
          <w:marTop w:val="0"/>
          <w:marBottom w:val="0"/>
          <w:divBdr>
            <w:top w:val="none" w:sz="0" w:space="0" w:color="auto"/>
            <w:left w:val="none" w:sz="0" w:space="0" w:color="auto"/>
            <w:bottom w:val="none" w:sz="0" w:space="0" w:color="auto"/>
            <w:right w:val="none" w:sz="0" w:space="0" w:color="auto"/>
          </w:divBdr>
          <w:divsChild>
            <w:div w:id="1516917455">
              <w:marLeft w:val="0"/>
              <w:marRight w:val="0"/>
              <w:marTop w:val="0"/>
              <w:marBottom w:val="0"/>
              <w:divBdr>
                <w:top w:val="none" w:sz="0" w:space="0" w:color="auto"/>
                <w:left w:val="none" w:sz="0" w:space="0" w:color="auto"/>
                <w:bottom w:val="none" w:sz="0" w:space="0" w:color="auto"/>
                <w:right w:val="none" w:sz="0" w:space="0" w:color="auto"/>
              </w:divBdr>
            </w:div>
          </w:divsChild>
        </w:div>
        <w:div w:id="2087334638">
          <w:marLeft w:val="0"/>
          <w:marRight w:val="0"/>
          <w:marTop w:val="0"/>
          <w:marBottom w:val="0"/>
          <w:divBdr>
            <w:top w:val="none" w:sz="0" w:space="0" w:color="auto"/>
            <w:left w:val="none" w:sz="0" w:space="0" w:color="auto"/>
            <w:bottom w:val="none" w:sz="0" w:space="0" w:color="auto"/>
            <w:right w:val="none" w:sz="0" w:space="0" w:color="auto"/>
          </w:divBdr>
          <w:divsChild>
            <w:div w:id="353770036">
              <w:marLeft w:val="0"/>
              <w:marRight w:val="0"/>
              <w:marTop w:val="0"/>
              <w:marBottom w:val="0"/>
              <w:divBdr>
                <w:top w:val="none" w:sz="0" w:space="0" w:color="auto"/>
                <w:left w:val="none" w:sz="0" w:space="0" w:color="auto"/>
                <w:bottom w:val="none" w:sz="0" w:space="0" w:color="auto"/>
                <w:right w:val="none" w:sz="0" w:space="0" w:color="auto"/>
              </w:divBdr>
            </w:div>
            <w:div w:id="521823546">
              <w:marLeft w:val="0"/>
              <w:marRight w:val="0"/>
              <w:marTop w:val="0"/>
              <w:marBottom w:val="0"/>
              <w:divBdr>
                <w:top w:val="none" w:sz="0" w:space="0" w:color="auto"/>
                <w:left w:val="none" w:sz="0" w:space="0" w:color="auto"/>
                <w:bottom w:val="none" w:sz="0" w:space="0" w:color="auto"/>
                <w:right w:val="none" w:sz="0" w:space="0" w:color="auto"/>
              </w:divBdr>
            </w:div>
            <w:div w:id="619843227">
              <w:marLeft w:val="0"/>
              <w:marRight w:val="0"/>
              <w:marTop w:val="0"/>
              <w:marBottom w:val="0"/>
              <w:divBdr>
                <w:top w:val="none" w:sz="0" w:space="0" w:color="auto"/>
                <w:left w:val="none" w:sz="0" w:space="0" w:color="auto"/>
                <w:bottom w:val="none" w:sz="0" w:space="0" w:color="auto"/>
                <w:right w:val="none" w:sz="0" w:space="0" w:color="auto"/>
              </w:divBdr>
            </w:div>
            <w:div w:id="770003790">
              <w:marLeft w:val="0"/>
              <w:marRight w:val="0"/>
              <w:marTop w:val="0"/>
              <w:marBottom w:val="0"/>
              <w:divBdr>
                <w:top w:val="none" w:sz="0" w:space="0" w:color="auto"/>
                <w:left w:val="none" w:sz="0" w:space="0" w:color="auto"/>
                <w:bottom w:val="none" w:sz="0" w:space="0" w:color="auto"/>
                <w:right w:val="none" w:sz="0" w:space="0" w:color="auto"/>
              </w:divBdr>
            </w:div>
            <w:div w:id="1112699970">
              <w:marLeft w:val="0"/>
              <w:marRight w:val="0"/>
              <w:marTop w:val="0"/>
              <w:marBottom w:val="0"/>
              <w:divBdr>
                <w:top w:val="none" w:sz="0" w:space="0" w:color="auto"/>
                <w:left w:val="none" w:sz="0" w:space="0" w:color="auto"/>
                <w:bottom w:val="none" w:sz="0" w:space="0" w:color="auto"/>
                <w:right w:val="none" w:sz="0" w:space="0" w:color="auto"/>
              </w:divBdr>
            </w:div>
            <w:div w:id="1414282365">
              <w:marLeft w:val="0"/>
              <w:marRight w:val="0"/>
              <w:marTop w:val="0"/>
              <w:marBottom w:val="0"/>
              <w:divBdr>
                <w:top w:val="none" w:sz="0" w:space="0" w:color="auto"/>
                <w:left w:val="none" w:sz="0" w:space="0" w:color="auto"/>
                <w:bottom w:val="none" w:sz="0" w:space="0" w:color="auto"/>
                <w:right w:val="none" w:sz="0" w:space="0" w:color="auto"/>
              </w:divBdr>
            </w:div>
            <w:div w:id="1514341330">
              <w:marLeft w:val="0"/>
              <w:marRight w:val="0"/>
              <w:marTop w:val="0"/>
              <w:marBottom w:val="0"/>
              <w:divBdr>
                <w:top w:val="none" w:sz="0" w:space="0" w:color="auto"/>
                <w:left w:val="none" w:sz="0" w:space="0" w:color="auto"/>
                <w:bottom w:val="none" w:sz="0" w:space="0" w:color="auto"/>
                <w:right w:val="none" w:sz="0" w:space="0" w:color="auto"/>
              </w:divBdr>
            </w:div>
            <w:div w:id="198731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48935">
      <w:bodyDiv w:val="1"/>
      <w:marLeft w:val="0"/>
      <w:marRight w:val="0"/>
      <w:marTop w:val="0"/>
      <w:marBottom w:val="0"/>
      <w:divBdr>
        <w:top w:val="none" w:sz="0" w:space="0" w:color="auto"/>
        <w:left w:val="none" w:sz="0" w:space="0" w:color="auto"/>
        <w:bottom w:val="none" w:sz="0" w:space="0" w:color="auto"/>
        <w:right w:val="none" w:sz="0" w:space="0" w:color="auto"/>
      </w:divBdr>
    </w:div>
    <w:div w:id="739911858">
      <w:bodyDiv w:val="1"/>
      <w:marLeft w:val="0"/>
      <w:marRight w:val="0"/>
      <w:marTop w:val="0"/>
      <w:marBottom w:val="0"/>
      <w:divBdr>
        <w:top w:val="none" w:sz="0" w:space="0" w:color="auto"/>
        <w:left w:val="none" w:sz="0" w:space="0" w:color="auto"/>
        <w:bottom w:val="none" w:sz="0" w:space="0" w:color="auto"/>
        <w:right w:val="none" w:sz="0" w:space="0" w:color="auto"/>
      </w:divBdr>
      <w:divsChild>
        <w:div w:id="3829292">
          <w:marLeft w:val="0"/>
          <w:marRight w:val="0"/>
          <w:marTop w:val="0"/>
          <w:marBottom w:val="0"/>
          <w:divBdr>
            <w:top w:val="none" w:sz="0" w:space="0" w:color="auto"/>
            <w:left w:val="none" w:sz="0" w:space="0" w:color="auto"/>
            <w:bottom w:val="none" w:sz="0" w:space="0" w:color="auto"/>
            <w:right w:val="none" w:sz="0" w:space="0" w:color="auto"/>
          </w:divBdr>
        </w:div>
        <w:div w:id="5837529">
          <w:marLeft w:val="0"/>
          <w:marRight w:val="0"/>
          <w:marTop w:val="0"/>
          <w:marBottom w:val="0"/>
          <w:divBdr>
            <w:top w:val="none" w:sz="0" w:space="0" w:color="auto"/>
            <w:left w:val="none" w:sz="0" w:space="0" w:color="auto"/>
            <w:bottom w:val="none" w:sz="0" w:space="0" w:color="auto"/>
            <w:right w:val="none" w:sz="0" w:space="0" w:color="auto"/>
          </w:divBdr>
        </w:div>
        <w:div w:id="27335846">
          <w:marLeft w:val="0"/>
          <w:marRight w:val="0"/>
          <w:marTop w:val="0"/>
          <w:marBottom w:val="0"/>
          <w:divBdr>
            <w:top w:val="none" w:sz="0" w:space="0" w:color="auto"/>
            <w:left w:val="none" w:sz="0" w:space="0" w:color="auto"/>
            <w:bottom w:val="none" w:sz="0" w:space="0" w:color="auto"/>
            <w:right w:val="none" w:sz="0" w:space="0" w:color="auto"/>
          </w:divBdr>
        </w:div>
        <w:div w:id="32462247">
          <w:marLeft w:val="0"/>
          <w:marRight w:val="0"/>
          <w:marTop w:val="0"/>
          <w:marBottom w:val="0"/>
          <w:divBdr>
            <w:top w:val="none" w:sz="0" w:space="0" w:color="auto"/>
            <w:left w:val="none" w:sz="0" w:space="0" w:color="auto"/>
            <w:bottom w:val="none" w:sz="0" w:space="0" w:color="auto"/>
            <w:right w:val="none" w:sz="0" w:space="0" w:color="auto"/>
          </w:divBdr>
        </w:div>
        <w:div w:id="35085729">
          <w:marLeft w:val="0"/>
          <w:marRight w:val="0"/>
          <w:marTop w:val="0"/>
          <w:marBottom w:val="0"/>
          <w:divBdr>
            <w:top w:val="none" w:sz="0" w:space="0" w:color="auto"/>
            <w:left w:val="none" w:sz="0" w:space="0" w:color="auto"/>
            <w:bottom w:val="none" w:sz="0" w:space="0" w:color="auto"/>
            <w:right w:val="none" w:sz="0" w:space="0" w:color="auto"/>
          </w:divBdr>
        </w:div>
        <w:div w:id="38285444">
          <w:marLeft w:val="0"/>
          <w:marRight w:val="0"/>
          <w:marTop w:val="0"/>
          <w:marBottom w:val="0"/>
          <w:divBdr>
            <w:top w:val="none" w:sz="0" w:space="0" w:color="auto"/>
            <w:left w:val="none" w:sz="0" w:space="0" w:color="auto"/>
            <w:bottom w:val="none" w:sz="0" w:space="0" w:color="auto"/>
            <w:right w:val="none" w:sz="0" w:space="0" w:color="auto"/>
          </w:divBdr>
        </w:div>
        <w:div w:id="52851144">
          <w:marLeft w:val="0"/>
          <w:marRight w:val="0"/>
          <w:marTop w:val="0"/>
          <w:marBottom w:val="0"/>
          <w:divBdr>
            <w:top w:val="none" w:sz="0" w:space="0" w:color="auto"/>
            <w:left w:val="none" w:sz="0" w:space="0" w:color="auto"/>
            <w:bottom w:val="none" w:sz="0" w:space="0" w:color="auto"/>
            <w:right w:val="none" w:sz="0" w:space="0" w:color="auto"/>
          </w:divBdr>
        </w:div>
        <w:div w:id="102309254">
          <w:marLeft w:val="0"/>
          <w:marRight w:val="0"/>
          <w:marTop w:val="0"/>
          <w:marBottom w:val="0"/>
          <w:divBdr>
            <w:top w:val="none" w:sz="0" w:space="0" w:color="auto"/>
            <w:left w:val="none" w:sz="0" w:space="0" w:color="auto"/>
            <w:bottom w:val="none" w:sz="0" w:space="0" w:color="auto"/>
            <w:right w:val="none" w:sz="0" w:space="0" w:color="auto"/>
          </w:divBdr>
        </w:div>
        <w:div w:id="126973287">
          <w:marLeft w:val="0"/>
          <w:marRight w:val="0"/>
          <w:marTop w:val="0"/>
          <w:marBottom w:val="0"/>
          <w:divBdr>
            <w:top w:val="none" w:sz="0" w:space="0" w:color="auto"/>
            <w:left w:val="none" w:sz="0" w:space="0" w:color="auto"/>
            <w:bottom w:val="none" w:sz="0" w:space="0" w:color="auto"/>
            <w:right w:val="none" w:sz="0" w:space="0" w:color="auto"/>
          </w:divBdr>
        </w:div>
        <w:div w:id="136646938">
          <w:marLeft w:val="0"/>
          <w:marRight w:val="0"/>
          <w:marTop w:val="0"/>
          <w:marBottom w:val="0"/>
          <w:divBdr>
            <w:top w:val="none" w:sz="0" w:space="0" w:color="auto"/>
            <w:left w:val="none" w:sz="0" w:space="0" w:color="auto"/>
            <w:bottom w:val="none" w:sz="0" w:space="0" w:color="auto"/>
            <w:right w:val="none" w:sz="0" w:space="0" w:color="auto"/>
          </w:divBdr>
        </w:div>
        <w:div w:id="149636760">
          <w:marLeft w:val="0"/>
          <w:marRight w:val="0"/>
          <w:marTop w:val="0"/>
          <w:marBottom w:val="0"/>
          <w:divBdr>
            <w:top w:val="none" w:sz="0" w:space="0" w:color="auto"/>
            <w:left w:val="none" w:sz="0" w:space="0" w:color="auto"/>
            <w:bottom w:val="none" w:sz="0" w:space="0" w:color="auto"/>
            <w:right w:val="none" w:sz="0" w:space="0" w:color="auto"/>
          </w:divBdr>
        </w:div>
        <w:div w:id="157157706">
          <w:marLeft w:val="0"/>
          <w:marRight w:val="0"/>
          <w:marTop w:val="0"/>
          <w:marBottom w:val="0"/>
          <w:divBdr>
            <w:top w:val="none" w:sz="0" w:space="0" w:color="auto"/>
            <w:left w:val="none" w:sz="0" w:space="0" w:color="auto"/>
            <w:bottom w:val="none" w:sz="0" w:space="0" w:color="auto"/>
            <w:right w:val="none" w:sz="0" w:space="0" w:color="auto"/>
          </w:divBdr>
        </w:div>
        <w:div w:id="160170221">
          <w:marLeft w:val="0"/>
          <w:marRight w:val="0"/>
          <w:marTop w:val="0"/>
          <w:marBottom w:val="0"/>
          <w:divBdr>
            <w:top w:val="none" w:sz="0" w:space="0" w:color="auto"/>
            <w:left w:val="none" w:sz="0" w:space="0" w:color="auto"/>
            <w:bottom w:val="none" w:sz="0" w:space="0" w:color="auto"/>
            <w:right w:val="none" w:sz="0" w:space="0" w:color="auto"/>
          </w:divBdr>
        </w:div>
        <w:div w:id="172376672">
          <w:marLeft w:val="0"/>
          <w:marRight w:val="0"/>
          <w:marTop w:val="0"/>
          <w:marBottom w:val="0"/>
          <w:divBdr>
            <w:top w:val="none" w:sz="0" w:space="0" w:color="auto"/>
            <w:left w:val="none" w:sz="0" w:space="0" w:color="auto"/>
            <w:bottom w:val="none" w:sz="0" w:space="0" w:color="auto"/>
            <w:right w:val="none" w:sz="0" w:space="0" w:color="auto"/>
          </w:divBdr>
        </w:div>
        <w:div w:id="187528476">
          <w:marLeft w:val="0"/>
          <w:marRight w:val="0"/>
          <w:marTop w:val="0"/>
          <w:marBottom w:val="0"/>
          <w:divBdr>
            <w:top w:val="none" w:sz="0" w:space="0" w:color="auto"/>
            <w:left w:val="none" w:sz="0" w:space="0" w:color="auto"/>
            <w:bottom w:val="none" w:sz="0" w:space="0" w:color="auto"/>
            <w:right w:val="none" w:sz="0" w:space="0" w:color="auto"/>
          </w:divBdr>
        </w:div>
        <w:div w:id="204563812">
          <w:marLeft w:val="0"/>
          <w:marRight w:val="0"/>
          <w:marTop w:val="0"/>
          <w:marBottom w:val="0"/>
          <w:divBdr>
            <w:top w:val="none" w:sz="0" w:space="0" w:color="auto"/>
            <w:left w:val="none" w:sz="0" w:space="0" w:color="auto"/>
            <w:bottom w:val="none" w:sz="0" w:space="0" w:color="auto"/>
            <w:right w:val="none" w:sz="0" w:space="0" w:color="auto"/>
          </w:divBdr>
        </w:div>
        <w:div w:id="212348964">
          <w:marLeft w:val="0"/>
          <w:marRight w:val="0"/>
          <w:marTop w:val="0"/>
          <w:marBottom w:val="0"/>
          <w:divBdr>
            <w:top w:val="none" w:sz="0" w:space="0" w:color="auto"/>
            <w:left w:val="none" w:sz="0" w:space="0" w:color="auto"/>
            <w:bottom w:val="none" w:sz="0" w:space="0" w:color="auto"/>
            <w:right w:val="none" w:sz="0" w:space="0" w:color="auto"/>
          </w:divBdr>
        </w:div>
        <w:div w:id="234626167">
          <w:marLeft w:val="0"/>
          <w:marRight w:val="0"/>
          <w:marTop w:val="0"/>
          <w:marBottom w:val="0"/>
          <w:divBdr>
            <w:top w:val="none" w:sz="0" w:space="0" w:color="auto"/>
            <w:left w:val="none" w:sz="0" w:space="0" w:color="auto"/>
            <w:bottom w:val="none" w:sz="0" w:space="0" w:color="auto"/>
            <w:right w:val="none" w:sz="0" w:space="0" w:color="auto"/>
          </w:divBdr>
        </w:div>
        <w:div w:id="251016515">
          <w:marLeft w:val="0"/>
          <w:marRight w:val="0"/>
          <w:marTop w:val="0"/>
          <w:marBottom w:val="0"/>
          <w:divBdr>
            <w:top w:val="none" w:sz="0" w:space="0" w:color="auto"/>
            <w:left w:val="none" w:sz="0" w:space="0" w:color="auto"/>
            <w:bottom w:val="none" w:sz="0" w:space="0" w:color="auto"/>
            <w:right w:val="none" w:sz="0" w:space="0" w:color="auto"/>
          </w:divBdr>
        </w:div>
        <w:div w:id="262955930">
          <w:marLeft w:val="0"/>
          <w:marRight w:val="0"/>
          <w:marTop w:val="0"/>
          <w:marBottom w:val="0"/>
          <w:divBdr>
            <w:top w:val="none" w:sz="0" w:space="0" w:color="auto"/>
            <w:left w:val="none" w:sz="0" w:space="0" w:color="auto"/>
            <w:bottom w:val="none" w:sz="0" w:space="0" w:color="auto"/>
            <w:right w:val="none" w:sz="0" w:space="0" w:color="auto"/>
          </w:divBdr>
        </w:div>
        <w:div w:id="311561180">
          <w:marLeft w:val="0"/>
          <w:marRight w:val="0"/>
          <w:marTop w:val="0"/>
          <w:marBottom w:val="0"/>
          <w:divBdr>
            <w:top w:val="none" w:sz="0" w:space="0" w:color="auto"/>
            <w:left w:val="none" w:sz="0" w:space="0" w:color="auto"/>
            <w:bottom w:val="none" w:sz="0" w:space="0" w:color="auto"/>
            <w:right w:val="none" w:sz="0" w:space="0" w:color="auto"/>
          </w:divBdr>
        </w:div>
        <w:div w:id="313876253">
          <w:marLeft w:val="0"/>
          <w:marRight w:val="0"/>
          <w:marTop w:val="0"/>
          <w:marBottom w:val="0"/>
          <w:divBdr>
            <w:top w:val="none" w:sz="0" w:space="0" w:color="auto"/>
            <w:left w:val="none" w:sz="0" w:space="0" w:color="auto"/>
            <w:bottom w:val="none" w:sz="0" w:space="0" w:color="auto"/>
            <w:right w:val="none" w:sz="0" w:space="0" w:color="auto"/>
          </w:divBdr>
        </w:div>
        <w:div w:id="332412278">
          <w:marLeft w:val="0"/>
          <w:marRight w:val="0"/>
          <w:marTop w:val="0"/>
          <w:marBottom w:val="0"/>
          <w:divBdr>
            <w:top w:val="none" w:sz="0" w:space="0" w:color="auto"/>
            <w:left w:val="none" w:sz="0" w:space="0" w:color="auto"/>
            <w:bottom w:val="none" w:sz="0" w:space="0" w:color="auto"/>
            <w:right w:val="none" w:sz="0" w:space="0" w:color="auto"/>
          </w:divBdr>
        </w:div>
        <w:div w:id="333842636">
          <w:marLeft w:val="0"/>
          <w:marRight w:val="0"/>
          <w:marTop w:val="0"/>
          <w:marBottom w:val="0"/>
          <w:divBdr>
            <w:top w:val="none" w:sz="0" w:space="0" w:color="auto"/>
            <w:left w:val="none" w:sz="0" w:space="0" w:color="auto"/>
            <w:bottom w:val="none" w:sz="0" w:space="0" w:color="auto"/>
            <w:right w:val="none" w:sz="0" w:space="0" w:color="auto"/>
          </w:divBdr>
        </w:div>
        <w:div w:id="359625644">
          <w:marLeft w:val="0"/>
          <w:marRight w:val="0"/>
          <w:marTop w:val="0"/>
          <w:marBottom w:val="0"/>
          <w:divBdr>
            <w:top w:val="none" w:sz="0" w:space="0" w:color="auto"/>
            <w:left w:val="none" w:sz="0" w:space="0" w:color="auto"/>
            <w:bottom w:val="none" w:sz="0" w:space="0" w:color="auto"/>
            <w:right w:val="none" w:sz="0" w:space="0" w:color="auto"/>
          </w:divBdr>
        </w:div>
        <w:div w:id="373384052">
          <w:marLeft w:val="0"/>
          <w:marRight w:val="0"/>
          <w:marTop w:val="0"/>
          <w:marBottom w:val="0"/>
          <w:divBdr>
            <w:top w:val="none" w:sz="0" w:space="0" w:color="auto"/>
            <w:left w:val="none" w:sz="0" w:space="0" w:color="auto"/>
            <w:bottom w:val="none" w:sz="0" w:space="0" w:color="auto"/>
            <w:right w:val="none" w:sz="0" w:space="0" w:color="auto"/>
          </w:divBdr>
        </w:div>
        <w:div w:id="425929578">
          <w:marLeft w:val="0"/>
          <w:marRight w:val="0"/>
          <w:marTop w:val="0"/>
          <w:marBottom w:val="0"/>
          <w:divBdr>
            <w:top w:val="none" w:sz="0" w:space="0" w:color="auto"/>
            <w:left w:val="none" w:sz="0" w:space="0" w:color="auto"/>
            <w:bottom w:val="none" w:sz="0" w:space="0" w:color="auto"/>
            <w:right w:val="none" w:sz="0" w:space="0" w:color="auto"/>
          </w:divBdr>
        </w:div>
        <w:div w:id="443037348">
          <w:marLeft w:val="0"/>
          <w:marRight w:val="0"/>
          <w:marTop w:val="0"/>
          <w:marBottom w:val="0"/>
          <w:divBdr>
            <w:top w:val="none" w:sz="0" w:space="0" w:color="auto"/>
            <w:left w:val="none" w:sz="0" w:space="0" w:color="auto"/>
            <w:bottom w:val="none" w:sz="0" w:space="0" w:color="auto"/>
            <w:right w:val="none" w:sz="0" w:space="0" w:color="auto"/>
          </w:divBdr>
        </w:div>
        <w:div w:id="496774683">
          <w:marLeft w:val="0"/>
          <w:marRight w:val="0"/>
          <w:marTop w:val="0"/>
          <w:marBottom w:val="0"/>
          <w:divBdr>
            <w:top w:val="none" w:sz="0" w:space="0" w:color="auto"/>
            <w:left w:val="none" w:sz="0" w:space="0" w:color="auto"/>
            <w:bottom w:val="none" w:sz="0" w:space="0" w:color="auto"/>
            <w:right w:val="none" w:sz="0" w:space="0" w:color="auto"/>
          </w:divBdr>
        </w:div>
        <w:div w:id="514416483">
          <w:marLeft w:val="0"/>
          <w:marRight w:val="0"/>
          <w:marTop w:val="0"/>
          <w:marBottom w:val="0"/>
          <w:divBdr>
            <w:top w:val="none" w:sz="0" w:space="0" w:color="auto"/>
            <w:left w:val="none" w:sz="0" w:space="0" w:color="auto"/>
            <w:bottom w:val="none" w:sz="0" w:space="0" w:color="auto"/>
            <w:right w:val="none" w:sz="0" w:space="0" w:color="auto"/>
          </w:divBdr>
        </w:div>
        <w:div w:id="564218950">
          <w:marLeft w:val="0"/>
          <w:marRight w:val="0"/>
          <w:marTop w:val="0"/>
          <w:marBottom w:val="0"/>
          <w:divBdr>
            <w:top w:val="none" w:sz="0" w:space="0" w:color="auto"/>
            <w:left w:val="none" w:sz="0" w:space="0" w:color="auto"/>
            <w:bottom w:val="none" w:sz="0" w:space="0" w:color="auto"/>
            <w:right w:val="none" w:sz="0" w:space="0" w:color="auto"/>
          </w:divBdr>
        </w:div>
        <w:div w:id="583880979">
          <w:marLeft w:val="0"/>
          <w:marRight w:val="0"/>
          <w:marTop w:val="0"/>
          <w:marBottom w:val="0"/>
          <w:divBdr>
            <w:top w:val="none" w:sz="0" w:space="0" w:color="auto"/>
            <w:left w:val="none" w:sz="0" w:space="0" w:color="auto"/>
            <w:bottom w:val="none" w:sz="0" w:space="0" w:color="auto"/>
            <w:right w:val="none" w:sz="0" w:space="0" w:color="auto"/>
          </w:divBdr>
        </w:div>
        <w:div w:id="587009727">
          <w:marLeft w:val="0"/>
          <w:marRight w:val="0"/>
          <w:marTop w:val="0"/>
          <w:marBottom w:val="0"/>
          <w:divBdr>
            <w:top w:val="none" w:sz="0" w:space="0" w:color="auto"/>
            <w:left w:val="none" w:sz="0" w:space="0" w:color="auto"/>
            <w:bottom w:val="none" w:sz="0" w:space="0" w:color="auto"/>
            <w:right w:val="none" w:sz="0" w:space="0" w:color="auto"/>
          </w:divBdr>
        </w:div>
        <w:div w:id="597982189">
          <w:marLeft w:val="0"/>
          <w:marRight w:val="0"/>
          <w:marTop w:val="0"/>
          <w:marBottom w:val="0"/>
          <w:divBdr>
            <w:top w:val="none" w:sz="0" w:space="0" w:color="auto"/>
            <w:left w:val="none" w:sz="0" w:space="0" w:color="auto"/>
            <w:bottom w:val="none" w:sz="0" w:space="0" w:color="auto"/>
            <w:right w:val="none" w:sz="0" w:space="0" w:color="auto"/>
          </w:divBdr>
        </w:div>
        <w:div w:id="613442800">
          <w:marLeft w:val="0"/>
          <w:marRight w:val="0"/>
          <w:marTop w:val="0"/>
          <w:marBottom w:val="0"/>
          <w:divBdr>
            <w:top w:val="none" w:sz="0" w:space="0" w:color="auto"/>
            <w:left w:val="none" w:sz="0" w:space="0" w:color="auto"/>
            <w:bottom w:val="none" w:sz="0" w:space="0" w:color="auto"/>
            <w:right w:val="none" w:sz="0" w:space="0" w:color="auto"/>
          </w:divBdr>
        </w:div>
        <w:div w:id="617419745">
          <w:marLeft w:val="0"/>
          <w:marRight w:val="0"/>
          <w:marTop w:val="0"/>
          <w:marBottom w:val="0"/>
          <w:divBdr>
            <w:top w:val="none" w:sz="0" w:space="0" w:color="auto"/>
            <w:left w:val="none" w:sz="0" w:space="0" w:color="auto"/>
            <w:bottom w:val="none" w:sz="0" w:space="0" w:color="auto"/>
            <w:right w:val="none" w:sz="0" w:space="0" w:color="auto"/>
          </w:divBdr>
        </w:div>
        <w:div w:id="633869569">
          <w:marLeft w:val="0"/>
          <w:marRight w:val="0"/>
          <w:marTop w:val="0"/>
          <w:marBottom w:val="0"/>
          <w:divBdr>
            <w:top w:val="none" w:sz="0" w:space="0" w:color="auto"/>
            <w:left w:val="none" w:sz="0" w:space="0" w:color="auto"/>
            <w:bottom w:val="none" w:sz="0" w:space="0" w:color="auto"/>
            <w:right w:val="none" w:sz="0" w:space="0" w:color="auto"/>
          </w:divBdr>
        </w:div>
        <w:div w:id="652217616">
          <w:marLeft w:val="0"/>
          <w:marRight w:val="0"/>
          <w:marTop w:val="0"/>
          <w:marBottom w:val="0"/>
          <w:divBdr>
            <w:top w:val="none" w:sz="0" w:space="0" w:color="auto"/>
            <w:left w:val="none" w:sz="0" w:space="0" w:color="auto"/>
            <w:bottom w:val="none" w:sz="0" w:space="0" w:color="auto"/>
            <w:right w:val="none" w:sz="0" w:space="0" w:color="auto"/>
          </w:divBdr>
        </w:div>
        <w:div w:id="709574809">
          <w:marLeft w:val="0"/>
          <w:marRight w:val="0"/>
          <w:marTop w:val="0"/>
          <w:marBottom w:val="0"/>
          <w:divBdr>
            <w:top w:val="none" w:sz="0" w:space="0" w:color="auto"/>
            <w:left w:val="none" w:sz="0" w:space="0" w:color="auto"/>
            <w:bottom w:val="none" w:sz="0" w:space="0" w:color="auto"/>
            <w:right w:val="none" w:sz="0" w:space="0" w:color="auto"/>
          </w:divBdr>
        </w:div>
        <w:div w:id="715158689">
          <w:marLeft w:val="0"/>
          <w:marRight w:val="0"/>
          <w:marTop w:val="0"/>
          <w:marBottom w:val="0"/>
          <w:divBdr>
            <w:top w:val="none" w:sz="0" w:space="0" w:color="auto"/>
            <w:left w:val="none" w:sz="0" w:space="0" w:color="auto"/>
            <w:bottom w:val="none" w:sz="0" w:space="0" w:color="auto"/>
            <w:right w:val="none" w:sz="0" w:space="0" w:color="auto"/>
          </w:divBdr>
        </w:div>
        <w:div w:id="779110438">
          <w:marLeft w:val="0"/>
          <w:marRight w:val="0"/>
          <w:marTop w:val="0"/>
          <w:marBottom w:val="0"/>
          <w:divBdr>
            <w:top w:val="none" w:sz="0" w:space="0" w:color="auto"/>
            <w:left w:val="none" w:sz="0" w:space="0" w:color="auto"/>
            <w:bottom w:val="none" w:sz="0" w:space="0" w:color="auto"/>
            <w:right w:val="none" w:sz="0" w:space="0" w:color="auto"/>
          </w:divBdr>
        </w:div>
        <w:div w:id="817920669">
          <w:marLeft w:val="0"/>
          <w:marRight w:val="0"/>
          <w:marTop w:val="0"/>
          <w:marBottom w:val="0"/>
          <w:divBdr>
            <w:top w:val="none" w:sz="0" w:space="0" w:color="auto"/>
            <w:left w:val="none" w:sz="0" w:space="0" w:color="auto"/>
            <w:bottom w:val="none" w:sz="0" w:space="0" w:color="auto"/>
            <w:right w:val="none" w:sz="0" w:space="0" w:color="auto"/>
          </w:divBdr>
        </w:div>
        <w:div w:id="818377862">
          <w:marLeft w:val="0"/>
          <w:marRight w:val="0"/>
          <w:marTop w:val="0"/>
          <w:marBottom w:val="0"/>
          <w:divBdr>
            <w:top w:val="none" w:sz="0" w:space="0" w:color="auto"/>
            <w:left w:val="none" w:sz="0" w:space="0" w:color="auto"/>
            <w:bottom w:val="none" w:sz="0" w:space="0" w:color="auto"/>
            <w:right w:val="none" w:sz="0" w:space="0" w:color="auto"/>
          </w:divBdr>
        </w:div>
        <w:div w:id="823664315">
          <w:marLeft w:val="0"/>
          <w:marRight w:val="0"/>
          <w:marTop w:val="0"/>
          <w:marBottom w:val="0"/>
          <w:divBdr>
            <w:top w:val="none" w:sz="0" w:space="0" w:color="auto"/>
            <w:left w:val="none" w:sz="0" w:space="0" w:color="auto"/>
            <w:bottom w:val="none" w:sz="0" w:space="0" w:color="auto"/>
            <w:right w:val="none" w:sz="0" w:space="0" w:color="auto"/>
          </w:divBdr>
        </w:div>
        <w:div w:id="833648466">
          <w:marLeft w:val="0"/>
          <w:marRight w:val="0"/>
          <w:marTop w:val="0"/>
          <w:marBottom w:val="0"/>
          <w:divBdr>
            <w:top w:val="none" w:sz="0" w:space="0" w:color="auto"/>
            <w:left w:val="none" w:sz="0" w:space="0" w:color="auto"/>
            <w:bottom w:val="none" w:sz="0" w:space="0" w:color="auto"/>
            <w:right w:val="none" w:sz="0" w:space="0" w:color="auto"/>
          </w:divBdr>
        </w:div>
        <w:div w:id="850290586">
          <w:marLeft w:val="0"/>
          <w:marRight w:val="0"/>
          <w:marTop w:val="0"/>
          <w:marBottom w:val="0"/>
          <w:divBdr>
            <w:top w:val="none" w:sz="0" w:space="0" w:color="auto"/>
            <w:left w:val="none" w:sz="0" w:space="0" w:color="auto"/>
            <w:bottom w:val="none" w:sz="0" w:space="0" w:color="auto"/>
            <w:right w:val="none" w:sz="0" w:space="0" w:color="auto"/>
          </w:divBdr>
        </w:div>
        <w:div w:id="855314162">
          <w:marLeft w:val="0"/>
          <w:marRight w:val="0"/>
          <w:marTop w:val="0"/>
          <w:marBottom w:val="0"/>
          <w:divBdr>
            <w:top w:val="none" w:sz="0" w:space="0" w:color="auto"/>
            <w:left w:val="none" w:sz="0" w:space="0" w:color="auto"/>
            <w:bottom w:val="none" w:sz="0" w:space="0" w:color="auto"/>
            <w:right w:val="none" w:sz="0" w:space="0" w:color="auto"/>
          </w:divBdr>
        </w:div>
        <w:div w:id="867179090">
          <w:marLeft w:val="0"/>
          <w:marRight w:val="0"/>
          <w:marTop w:val="0"/>
          <w:marBottom w:val="0"/>
          <w:divBdr>
            <w:top w:val="none" w:sz="0" w:space="0" w:color="auto"/>
            <w:left w:val="none" w:sz="0" w:space="0" w:color="auto"/>
            <w:bottom w:val="none" w:sz="0" w:space="0" w:color="auto"/>
            <w:right w:val="none" w:sz="0" w:space="0" w:color="auto"/>
          </w:divBdr>
        </w:div>
        <w:div w:id="869925110">
          <w:marLeft w:val="0"/>
          <w:marRight w:val="0"/>
          <w:marTop w:val="0"/>
          <w:marBottom w:val="0"/>
          <w:divBdr>
            <w:top w:val="none" w:sz="0" w:space="0" w:color="auto"/>
            <w:left w:val="none" w:sz="0" w:space="0" w:color="auto"/>
            <w:bottom w:val="none" w:sz="0" w:space="0" w:color="auto"/>
            <w:right w:val="none" w:sz="0" w:space="0" w:color="auto"/>
          </w:divBdr>
        </w:div>
        <w:div w:id="889733426">
          <w:marLeft w:val="0"/>
          <w:marRight w:val="0"/>
          <w:marTop w:val="0"/>
          <w:marBottom w:val="0"/>
          <w:divBdr>
            <w:top w:val="none" w:sz="0" w:space="0" w:color="auto"/>
            <w:left w:val="none" w:sz="0" w:space="0" w:color="auto"/>
            <w:bottom w:val="none" w:sz="0" w:space="0" w:color="auto"/>
            <w:right w:val="none" w:sz="0" w:space="0" w:color="auto"/>
          </w:divBdr>
        </w:div>
        <w:div w:id="890114773">
          <w:marLeft w:val="0"/>
          <w:marRight w:val="0"/>
          <w:marTop w:val="0"/>
          <w:marBottom w:val="0"/>
          <w:divBdr>
            <w:top w:val="none" w:sz="0" w:space="0" w:color="auto"/>
            <w:left w:val="none" w:sz="0" w:space="0" w:color="auto"/>
            <w:bottom w:val="none" w:sz="0" w:space="0" w:color="auto"/>
            <w:right w:val="none" w:sz="0" w:space="0" w:color="auto"/>
          </w:divBdr>
        </w:div>
        <w:div w:id="915017510">
          <w:marLeft w:val="0"/>
          <w:marRight w:val="0"/>
          <w:marTop w:val="0"/>
          <w:marBottom w:val="0"/>
          <w:divBdr>
            <w:top w:val="none" w:sz="0" w:space="0" w:color="auto"/>
            <w:left w:val="none" w:sz="0" w:space="0" w:color="auto"/>
            <w:bottom w:val="none" w:sz="0" w:space="0" w:color="auto"/>
            <w:right w:val="none" w:sz="0" w:space="0" w:color="auto"/>
          </w:divBdr>
        </w:div>
        <w:div w:id="945233468">
          <w:marLeft w:val="0"/>
          <w:marRight w:val="0"/>
          <w:marTop w:val="0"/>
          <w:marBottom w:val="0"/>
          <w:divBdr>
            <w:top w:val="none" w:sz="0" w:space="0" w:color="auto"/>
            <w:left w:val="none" w:sz="0" w:space="0" w:color="auto"/>
            <w:bottom w:val="none" w:sz="0" w:space="0" w:color="auto"/>
            <w:right w:val="none" w:sz="0" w:space="0" w:color="auto"/>
          </w:divBdr>
        </w:div>
        <w:div w:id="952635141">
          <w:marLeft w:val="0"/>
          <w:marRight w:val="0"/>
          <w:marTop w:val="0"/>
          <w:marBottom w:val="0"/>
          <w:divBdr>
            <w:top w:val="none" w:sz="0" w:space="0" w:color="auto"/>
            <w:left w:val="none" w:sz="0" w:space="0" w:color="auto"/>
            <w:bottom w:val="none" w:sz="0" w:space="0" w:color="auto"/>
            <w:right w:val="none" w:sz="0" w:space="0" w:color="auto"/>
          </w:divBdr>
        </w:div>
        <w:div w:id="968782465">
          <w:marLeft w:val="0"/>
          <w:marRight w:val="0"/>
          <w:marTop w:val="0"/>
          <w:marBottom w:val="0"/>
          <w:divBdr>
            <w:top w:val="none" w:sz="0" w:space="0" w:color="auto"/>
            <w:left w:val="none" w:sz="0" w:space="0" w:color="auto"/>
            <w:bottom w:val="none" w:sz="0" w:space="0" w:color="auto"/>
            <w:right w:val="none" w:sz="0" w:space="0" w:color="auto"/>
          </w:divBdr>
        </w:div>
        <w:div w:id="978799031">
          <w:marLeft w:val="0"/>
          <w:marRight w:val="0"/>
          <w:marTop w:val="0"/>
          <w:marBottom w:val="0"/>
          <w:divBdr>
            <w:top w:val="none" w:sz="0" w:space="0" w:color="auto"/>
            <w:left w:val="none" w:sz="0" w:space="0" w:color="auto"/>
            <w:bottom w:val="none" w:sz="0" w:space="0" w:color="auto"/>
            <w:right w:val="none" w:sz="0" w:space="0" w:color="auto"/>
          </w:divBdr>
        </w:div>
        <w:div w:id="1006983590">
          <w:marLeft w:val="0"/>
          <w:marRight w:val="0"/>
          <w:marTop w:val="0"/>
          <w:marBottom w:val="0"/>
          <w:divBdr>
            <w:top w:val="none" w:sz="0" w:space="0" w:color="auto"/>
            <w:left w:val="none" w:sz="0" w:space="0" w:color="auto"/>
            <w:bottom w:val="none" w:sz="0" w:space="0" w:color="auto"/>
            <w:right w:val="none" w:sz="0" w:space="0" w:color="auto"/>
          </w:divBdr>
        </w:div>
        <w:div w:id="1056246851">
          <w:marLeft w:val="0"/>
          <w:marRight w:val="0"/>
          <w:marTop w:val="0"/>
          <w:marBottom w:val="0"/>
          <w:divBdr>
            <w:top w:val="none" w:sz="0" w:space="0" w:color="auto"/>
            <w:left w:val="none" w:sz="0" w:space="0" w:color="auto"/>
            <w:bottom w:val="none" w:sz="0" w:space="0" w:color="auto"/>
            <w:right w:val="none" w:sz="0" w:space="0" w:color="auto"/>
          </w:divBdr>
        </w:div>
        <w:div w:id="1058744379">
          <w:marLeft w:val="0"/>
          <w:marRight w:val="0"/>
          <w:marTop w:val="0"/>
          <w:marBottom w:val="0"/>
          <w:divBdr>
            <w:top w:val="none" w:sz="0" w:space="0" w:color="auto"/>
            <w:left w:val="none" w:sz="0" w:space="0" w:color="auto"/>
            <w:bottom w:val="none" w:sz="0" w:space="0" w:color="auto"/>
            <w:right w:val="none" w:sz="0" w:space="0" w:color="auto"/>
          </w:divBdr>
        </w:div>
        <w:div w:id="1104955104">
          <w:marLeft w:val="0"/>
          <w:marRight w:val="0"/>
          <w:marTop w:val="0"/>
          <w:marBottom w:val="0"/>
          <w:divBdr>
            <w:top w:val="none" w:sz="0" w:space="0" w:color="auto"/>
            <w:left w:val="none" w:sz="0" w:space="0" w:color="auto"/>
            <w:bottom w:val="none" w:sz="0" w:space="0" w:color="auto"/>
            <w:right w:val="none" w:sz="0" w:space="0" w:color="auto"/>
          </w:divBdr>
        </w:div>
        <w:div w:id="1118064458">
          <w:marLeft w:val="0"/>
          <w:marRight w:val="0"/>
          <w:marTop w:val="0"/>
          <w:marBottom w:val="0"/>
          <w:divBdr>
            <w:top w:val="none" w:sz="0" w:space="0" w:color="auto"/>
            <w:left w:val="none" w:sz="0" w:space="0" w:color="auto"/>
            <w:bottom w:val="none" w:sz="0" w:space="0" w:color="auto"/>
            <w:right w:val="none" w:sz="0" w:space="0" w:color="auto"/>
          </w:divBdr>
        </w:div>
        <w:div w:id="1129395233">
          <w:marLeft w:val="0"/>
          <w:marRight w:val="0"/>
          <w:marTop w:val="0"/>
          <w:marBottom w:val="0"/>
          <w:divBdr>
            <w:top w:val="none" w:sz="0" w:space="0" w:color="auto"/>
            <w:left w:val="none" w:sz="0" w:space="0" w:color="auto"/>
            <w:bottom w:val="none" w:sz="0" w:space="0" w:color="auto"/>
            <w:right w:val="none" w:sz="0" w:space="0" w:color="auto"/>
          </w:divBdr>
        </w:div>
        <w:div w:id="1130980571">
          <w:marLeft w:val="0"/>
          <w:marRight w:val="0"/>
          <w:marTop w:val="0"/>
          <w:marBottom w:val="0"/>
          <w:divBdr>
            <w:top w:val="none" w:sz="0" w:space="0" w:color="auto"/>
            <w:left w:val="none" w:sz="0" w:space="0" w:color="auto"/>
            <w:bottom w:val="none" w:sz="0" w:space="0" w:color="auto"/>
            <w:right w:val="none" w:sz="0" w:space="0" w:color="auto"/>
          </w:divBdr>
        </w:div>
        <w:div w:id="1159467858">
          <w:marLeft w:val="0"/>
          <w:marRight w:val="0"/>
          <w:marTop w:val="0"/>
          <w:marBottom w:val="0"/>
          <w:divBdr>
            <w:top w:val="none" w:sz="0" w:space="0" w:color="auto"/>
            <w:left w:val="none" w:sz="0" w:space="0" w:color="auto"/>
            <w:bottom w:val="none" w:sz="0" w:space="0" w:color="auto"/>
            <w:right w:val="none" w:sz="0" w:space="0" w:color="auto"/>
          </w:divBdr>
        </w:div>
        <w:div w:id="1168250753">
          <w:marLeft w:val="0"/>
          <w:marRight w:val="0"/>
          <w:marTop w:val="0"/>
          <w:marBottom w:val="0"/>
          <w:divBdr>
            <w:top w:val="none" w:sz="0" w:space="0" w:color="auto"/>
            <w:left w:val="none" w:sz="0" w:space="0" w:color="auto"/>
            <w:bottom w:val="none" w:sz="0" w:space="0" w:color="auto"/>
            <w:right w:val="none" w:sz="0" w:space="0" w:color="auto"/>
          </w:divBdr>
        </w:div>
        <w:div w:id="1181819726">
          <w:marLeft w:val="0"/>
          <w:marRight w:val="0"/>
          <w:marTop w:val="0"/>
          <w:marBottom w:val="0"/>
          <w:divBdr>
            <w:top w:val="none" w:sz="0" w:space="0" w:color="auto"/>
            <w:left w:val="none" w:sz="0" w:space="0" w:color="auto"/>
            <w:bottom w:val="none" w:sz="0" w:space="0" w:color="auto"/>
            <w:right w:val="none" w:sz="0" w:space="0" w:color="auto"/>
          </w:divBdr>
        </w:div>
        <w:div w:id="1184710470">
          <w:marLeft w:val="0"/>
          <w:marRight w:val="0"/>
          <w:marTop w:val="0"/>
          <w:marBottom w:val="0"/>
          <w:divBdr>
            <w:top w:val="none" w:sz="0" w:space="0" w:color="auto"/>
            <w:left w:val="none" w:sz="0" w:space="0" w:color="auto"/>
            <w:bottom w:val="none" w:sz="0" w:space="0" w:color="auto"/>
            <w:right w:val="none" w:sz="0" w:space="0" w:color="auto"/>
          </w:divBdr>
        </w:div>
        <w:div w:id="1202397002">
          <w:marLeft w:val="0"/>
          <w:marRight w:val="0"/>
          <w:marTop w:val="0"/>
          <w:marBottom w:val="0"/>
          <w:divBdr>
            <w:top w:val="none" w:sz="0" w:space="0" w:color="auto"/>
            <w:left w:val="none" w:sz="0" w:space="0" w:color="auto"/>
            <w:bottom w:val="none" w:sz="0" w:space="0" w:color="auto"/>
            <w:right w:val="none" w:sz="0" w:space="0" w:color="auto"/>
          </w:divBdr>
        </w:div>
        <w:div w:id="1255170517">
          <w:marLeft w:val="0"/>
          <w:marRight w:val="0"/>
          <w:marTop w:val="0"/>
          <w:marBottom w:val="0"/>
          <w:divBdr>
            <w:top w:val="none" w:sz="0" w:space="0" w:color="auto"/>
            <w:left w:val="none" w:sz="0" w:space="0" w:color="auto"/>
            <w:bottom w:val="none" w:sz="0" w:space="0" w:color="auto"/>
            <w:right w:val="none" w:sz="0" w:space="0" w:color="auto"/>
          </w:divBdr>
        </w:div>
        <w:div w:id="1283659191">
          <w:marLeft w:val="0"/>
          <w:marRight w:val="0"/>
          <w:marTop w:val="0"/>
          <w:marBottom w:val="0"/>
          <w:divBdr>
            <w:top w:val="none" w:sz="0" w:space="0" w:color="auto"/>
            <w:left w:val="none" w:sz="0" w:space="0" w:color="auto"/>
            <w:bottom w:val="none" w:sz="0" w:space="0" w:color="auto"/>
            <w:right w:val="none" w:sz="0" w:space="0" w:color="auto"/>
          </w:divBdr>
        </w:div>
        <w:div w:id="1321034673">
          <w:marLeft w:val="0"/>
          <w:marRight w:val="0"/>
          <w:marTop w:val="0"/>
          <w:marBottom w:val="0"/>
          <w:divBdr>
            <w:top w:val="none" w:sz="0" w:space="0" w:color="auto"/>
            <w:left w:val="none" w:sz="0" w:space="0" w:color="auto"/>
            <w:bottom w:val="none" w:sz="0" w:space="0" w:color="auto"/>
            <w:right w:val="none" w:sz="0" w:space="0" w:color="auto"/>
          </w:divBdr>
        </w:div>
        <w:div w:id="1342317402">
          <w:marLeft w:val="0"/>
          <w:marRight w:val="0"/>
          <w:marTop w:val="0"/>
          <w:marBottom w:val="0"/>
          <w:divBdr>
            <w:top w:val="none" w:sz="0" w:space="0" w:color="auto"/>
            <w:left w:val="none" w:sz="0" w:space="0" w:color="auto"/>
            <w:bottom w:val="none" w:sz="0" w:space="0" w:color="auto"/>
            <w:right w:val="none" w:sz="0" w:space="0" w:color="auto"/>
          </w:divBdr>
        </w:div>
        <w:div w:id="1350644121">
          <w:marLeft w:val="0"/>
          <w:marRight w:val="0"/>
          <w:marTop w:val="0"/>
          <w:marBottom w:val="0"/>
          <w:divBdr>
            <w:top w:val="none" w:sz="0" w:space="0" w:color="auto"/>
            <w:left w:val="none" w:sz="0" w:space="0" w:color="auto"/>
            <w:bottom w:val="none" w:sz="0" w:space="0" w:color="auto"/>
            <w:right w:val="none" w:sz="0" w:space="0" w:color="auto"/>
          </w:divBdr>
        </w:div>
        <w:div w:id="1372806897">
          <w:marLeft w:val="0"/>
          <w:marRight w:val="0"/>
          <w:marTop w:val="0"/>
          <w:marBottom w:val="0"/>
          <w:divBdr>
            <w:top w:val="none" w:sz="0" w:space="0" w:color="auto"/>
            <w:left w:val="none" w:sz="0" w:space="0" w:color="auto"/>
            <w:bottom w:val="none" w:sz="0" w:space="0" w:color="auto"/>
            <w:right w:val="none" w:sz="0" w:space="0" w:color="auto"/>
          </w:divBdr>
        </w:div>
        <w:div w:id="1386031020">
          <w:marLeft w:val="0"/>
          <w:marRight w:val="0"/>
          <w:marTop w:val="0"/>
          <w:marBottom w:val="0"/>
          <w:divBdr>
            <w:top w:val="none" w:sz="0" w:space="0" w:color="auto"/>
            <w:left w:val="none" w:sz="0" w:space="0" w:color="auto"/>
            <w:bottom w:val="none" w:sz="0" w:space="0" w:color="auto"/>
            <w:right w:val="none" w:sz="0" w:space="0" w:color="auto"/>
          </w:divBdr>
        </w:div>
        <w:div w:id="1387534785">
          <w:marLeft w:val="0"/>
          <w:marRight w:val="0"/>
          <w:marTop w:val="0"/>
          <w:marBottom w:val="0"/>
          <w:divBdr>
            <w:top w:val="none" w:sz="0" w:space="0" w:color="auto"/>
            <w:left w:val="none" w:sz="0" w:space="0" w:color="auto"/>
            <w:bottom w:val="none" w:sz="0" w:space="0" w:color="auto"/>
            <w:right w:val="none" w:sz="0" w:space="0" w:color="auto"/>
          </w:divBdr>
        </w:div>
        <w:div w:id="1442602583">
          <w:marLeft w:val="0"/>
          <w:marRight w:val="0"/>
          <w:marTop w:val="0"/>
          <w:marBottom w:val="0"/>
          <w:divBdr>
            <w:top w:val="none" w:sz="0" w:space="0" w:color="auto"/>
            <w:left w:val="none" w:sz="0" w:space="0" w:color="auto"/>
            <w:bottom w:val="none" w:sz="0" w:space="0" w:color="auto"/>
            <w:right w:val="none" w:sz="0" w:space="0" w:color="auto"/>
          </w:divBdr>
        </w:div>
        <w:div w:id="1477532834">
          <w:marLeft w:val="0"/>
          <w:marRight w:val="0"/>
          <w:marTop w:val="0"/>
          <w:marBottom w:val="0"/>
          <w:divBdr>
            <w:top w:val="none" w:sz="0" w:space="0" w:color="auto"/>
            <w:left w:val="none" w:sz="0" w:space="0" w:color="auto"/>
            <w:bottom w:val="none" w:sz="0" w:space="0" w:color="auto"/>
            <w:right w:val="none" w:sz="0" w:space="0" w:color="auto"/>
          </w:divBdr>
        </w:div>
        <w:div w:id="1479495050">
          <w:marLeft w:val="0"/>
          <w:marRight w:val="0"/>
          <w:marTop w:val="0"/>
          <w:marBottom w:val="0"/>
          <w:divBdr>
            <w:top w:val="none" w:sz="0" w:space="0" w:color="auto"/>
            <w:left w:val="none" w:sz="0" w:space="0" w:color="auto"/>
            <w:bottom w:val="none" w:sz="0" w:space="0" w:color="auto"/>
            <w:right w:val="none" w:sz="0" w:space="0" w:color="auto"/>
          </w:divBdr>
        </w:div>
        <w:div w:id="1499074008">
          <w:marLeft w:val="0"/>
          <w:marRight w:val="0"/>
          <w:marTop w:val="0"/>
          <w:marBottom w:val="0"/>
          <w:divBdr>
            <w:top w:val="none" w:sz="0" w:space="0" w:color="auto"/>
            <w:left w:val="none" w:sz="0" w:space="0" w:color="auto"/>
            <w:bottom w:val="none" w:sz="0" w:space="0" w:color="auto"/>
            <w:right w:val="none" w:sz="0" w:space="0" w:color="auto"/>
          </w:divBdr>
        </w:div>
        <w:div w:id="1509326785">
          <w:marLeft w:val="0"/>
          <w:marRight w:val="0"/>
          <w:marTop w:val="0"/>
          <w:marBottom w:val="0"/>
          <w:divBdr>
            <w:top w:val="none" w:sz="0" w:space="0" w:color="auto"/>
            <w:left w:val="none" w:sz="0" w:space="0" w:color="auto"/>
            <w:bottom w:val="none" w:sz="0" w:space="0" w:color="auto"/>
            <w:right w:val="none" w:sz="0" w:space="0" w:color="auto"/>
          </w:divBdr>
        </w:div>
        <w:div w:id="1527208991">
          <w:marLeft w:val="0"/>
          <w:marRight w:val="0"/>
          <w:marTop w:val="0"/>
          <w:marBottom w:val="0"/>
          <w:divBdr>
            <w:top w:val="none" w:sz="0" w:space="0" w:color="auto"/>
            <w:left w:val="none" w:sz="0" w:space="0" w:color="auto"/>
            <w:bottom w:val="none" w:sz="0" w:space="0" w:color="auto"/>
            <w:right w:val="none" w:sz="0" w:space="0" w:color="auto"/>
          </w:divBdr>
        </w:div>
        <w:div w:id="1531450924">
          <w:marLeft w:val="0"/>
          <w:marRight w:val="0"/>
          <w:marTop w:val="0"/>
          <w:marBottom w:val="0"/>
          <w:divBdr>
            <w:top w:val="none" w:sz="0" w:space="0" w:color="auto"/>
            <w:left w:val="none" w:sz="0" w:space="0" w:color="auto"/>
            <w:bottom w:val="none" w:sz="0" w:space="0" w:color="auto"/>
            <w:right w:val="none" w:sz="0" w:space="0" w:color="auto"/>
          </w:divBdr>
        </w:div>
        <w:div w:id="1540898413">
          <w:marLeft w:val="0"/>
          <w:marRight w:val="0"/>
          <w:marTop w:val="0"/>
          <w:marBottom w:val="0"/>
          <w:divBdr>
            <w:top w:val="none" w:sz="0" w:space="0" w:color="auto"/>
            <w:left w:val="none" w:sz="0" w:space="0" w:color="auto"/>
            <w:bottom w:val="none" w:sz="0" w:space="0" w:color="auto"/>
            <w:right w:val="none" w:sz="0" w:space="0" w:color="auto"/>
          </w:divBdr>
        </w:div>
        <w:div w:id="1541091361">
          <w:marLeft w:val="0"/>
          <w:marRight w:val="0"/>
          <w:marTop w:val="0"/>
          <w:marBottom w:val="0"/>
          <w:divBdr>
            <w:top w:val="none" w:sz="0" w:space="0" w:color="auto"/>
            <w:left w:val="none" w:sz="0" w:space="0" w:color="auto"/>
            <w:bottom w:val="none" w:sz="0" w:space="0" w:color="auto"/>
            <w:right w:val="none" w:sz="0" w:space="0" w:color="auto"/>
          </w:divBdr>
        </w:div>
        <w:div w:id="1543131592">
          <w:marLeft w:val="0"/>
          <w:marRight w:val="0"/>
          <w:marTop w:val="0"/>
          <w:marBottom w:val="0"/>
          <w:divBdr>
            <w:top w:val="none" w:sz="0" w:space="0" w:color="auto"/>
            <w:left w:val="none" w:sz="0" w:space="0" w:color="auto"/>
            <w:bottom w:val="none" w:sz="0" w:space="0" w:color="auto"/>
            <w:right w:val="none" w:sz="0" w:space="0" w:color="auto"/>
          </w:divBdr>
        </w:div>
        <w:div w:id="1545865635">
          <w:marLeft w:val="0"/>
          <w:marRight w:val="0"/>
          <w:marTop w:val="0"/>
          <w:marBottom w:val="0"/>
          <w:divBdr>
            <w:top w:val="none" w:sz="0" w:space="0" w:color="auto"/>
            <w:left w:val="none" w:sz="0" w:space="0" w:color="auto"/>
            <w:bottom w:val="none" w:sz="0" w:space="0" w:color="auto"/>
            <w:right w:val="none" w:sz="0" w:space="0" w:color="auto"/>
          </w:divBdr>
        </w:div>
        <w:div w:id="1550920380">
          <w:marLeft w:val="0"/>
          <w:marRight w:val="0"/>
          <w:marTop w:val="0"/>
          <w:marBottom w:val="0"/>
          <w:divBdr>
            <w:top w:val="none" w:sz="0" w:space="0" w:color="auto"/>
            <w:left w:val="none" w:sz="0" w:space="0" w:color="auto"/>
            <w:bottom w:val="none" w:sz="0" w:space="0" w:color="auto"/>
            <w:right w:val="none" w:sz="0" w:space="0" w:color="auto"/>
          </w:divBdr>
        </w:div>
        <w:div w:id="1571694161">
          <w:marLeft w:val="0"/>
          <w:marRight w:val="0"/>
          <w:marTop w:val="0"/>
          <w:marBottom w:val="0"/>
          <w:divBdr>
            <w:top w:val="none" w:sz="0" w:space="0" w:color="auto"/>
            <w:left w:val="none" w:sz="0" w:space="0" w:color="auto"/>
            <w:bottom w:val="none" w:sz="0" w:space="0" w:color="auto"/>
            <w:right w:val="none" w:sz="0" w:space="0" w:color="auto"/>
          </w:divBdr>
        </w:div>
        <w:div w:id="1594391669">
          <w:marLeft w:val="0"/>
          <w:marRight w:val="0"/>
          <w:marTop w:val="0"/>
          <w:marBottom w:val="0"/>
          <w:divBdr>
            <w:top w:val="none" w:sz="0" w:space="0" w:color="auto"/>
            <w:left w:val="none" w:sz="0" w:space="0" w:color="auto"/>
            <w:bottom w:val="none" w:sz="0" w:space="0" w:color="auto"/>
            <w:right w:val="none" w:sz="0" w:space="0" w:color="auto"/>
          </w:divBdr>
        </w:div>
        <w:div w:id="1610158378">
          <w:marLeft w:val="0"/>
          <w:marRight w:val="0"/>
          <w:marTop w:val="0"/>
          <w:marBottom w:val="0"/>
          <w:divBdr>
            <w:top w:val="none" w:sz="0" w:space="0" w:color="auto"/>
            <w:left w:val="none" w:sz="0" w:space="0" w:color="auto"/>
            <w:bottom w:val="none" w:sz="0" w:space="0" w:color="auto"/>
            <w:right w:val="none" w:sz="0" w:space="0" w:color="auto"/>
          </w:divBdr>
        </w:div>
        <w:div w:id="1626351193">
          <w:marLeft w:val="0"/>
          <w:marRight w:val="0"/>
          <w:marTop w:val="0"/>
          <w:marBottom w:val="0"/>
          <w:divBdr>
            <w:top w:val="none" w:sz="0" w:space="0" w:color="auto"/>
            <w:left w:val="none" w:sz="0" w:space="0" w:color="auto"/>
            <w:bottom w:val="none" w:sz="0" w:space="0" w:color="auto"/>
            <w:right w:val="none" w:sz="0" w:space="0" w:color="auto"/>
          </w:divBdr>
        </w:div>
        <w:div w:id="1636254067">
          <w:marLeft w:val="0"/>
          <w:marRight w:val="0"/>
          <w:marTop w:val="0"/>
          <w:marBottom w:val="0"/>
          <w:divBdr>
            <w:top w:val="none" w:sz="0" w:space="0" w:color="auto"/>
            <w:left w:val="none" w:sz="0" w:space="0" w:color="auto"/>
            <w:bottom w:val="none" w:sz="0" w:space="0" w:color="auto"/>
            <w:right w:val="none" w:sz="0" w:space="0" w:color="auto"/>
          </w:divBdr>
        </w:div>
        <w:div w:id="1643658220">
          <w:marLeft w:val="0"/>
          <w:marRight w:val="0"/>
          <w:marTop w:val="0"/>
          <w:marBottom w:val="0"/>
          <w:divBdr>
            <w:top w:val="none" w:sz="0" w:space="0" w:color="auto"/>
            <w:left w:val="none" w:sz="0" w:space="0" w:color="auto"/>
            <w:bottom w:val="none" w:sz="0" w:space="0" w:color="auto"/>
            <w:right w:val="none" w:sz="0" w:space="0" w:color="auto"/>
          </w:divBdr>
        </w:div>
        <w:div w:id="1646012543">
          <w:marLeft w:val="0"/>
          <w:marRight w:val="0"/>
          <w:marTop w:val="0"/>
          <w:marBottom w:val="0"/>
          <w:divBdr>
            <w:top w:val="none" w:sz="0" w:space="0" w:color="auto"/>
            <w:left w:val="none" w:sz="0" w:space="0" w:color="auto"/>
            <w:bottom w:val="none" w:sz="0" w:space="0" w:color="auto"/>
            <w:right w:val="none" w:sz="0" w:space="0" w:color="auto"/>
          </w:divBdr>
        </w:div>
        <w:div w:id="1656373156">
          <w:marLeft w:val="0"/>
          <w:marRight w:val="0"/>
          <w:marTop w:val="0"/>
          <w:marBottom w:val="0"/>
          <w:divBdr>
            <w:top w:val="none" w:sz="0" w:space="0" w:color="auto"/>
            <w:left w:val="none" w:sz="0" w:space="0" w:color="auto"/>
            <w:bottom w:val="none" w:sz="0" w:space="0" w:color="auto"/>
            <w:right w:val="none" w:sz="0" w:space="0" w:color="auto"/>
          </w:divBdr>
        </w:div>
        <w:div w:id="1665039247">
          <w:marLeft w:val="0"/>
          <w:marRight w:val="0"/>
          <w:marTop w:val="0"/>
          <w:marBottom w:val="0"/>
          <w:divBdr>
            <w:top w:val="none" w:sz="0" w:space="0" w:color="auto"/>
            <w:left w:val="none" w:sz="0" w:space="0" w:color="auto"/>
            <w:bottom w:val="none" w:sz="0" w:space="0" w:color="auto"/>
            <w:right w:val="none" w:sz="0" w:space="0" w:color="auto"/>
          </w:divBdr>
        </w:div>
        <w:div w:id="1678851398">
          <w:marLeft w:val="0"/>
          <w:marRight w:val="0"/>
          <w:marTop w:val="0"/>
          <w:marBottom w:val="0"/>
          <w:divBdr>
            <w:top w:val="none" w:sz="0" w:space="0" w:color="auto"/>
            <w:left w:val="none" w:sz="0" w:space="0" w:color="auto"/>
            <w:bottom w:val="none" w:sz="0" w:space="0" w:color="auto"/>
            <w:right w:val="none" w:sz="0" w:space="0" w:color="auto"/>
          </w:divBdr>
        </w:div>
        <w:div w:id="1685474395">
          <w:marLeft w:val="0"/>
          <w:marRight w:val="0"/>
          <w:marTop w:val="0"/>
          <w:marBottom w:val="0"/>
          <w:divBdr>
            <w:top w:val="none" w:sz="0" w:space="0" w:color="auto"/>
            <w:left w:val="none" w:sz="0" w:space="0" w:color="auto"/>
            <w:bottom w:val="none" w:sz="0" w:space="0" w:color="auto"/>
            <w:right w:val="none" w:sz="0" w:space="0" w:color="auto"/>
          </w:divBdr>
        </w:div>
        <w:div w:id="1717579454">
          <w:marLeft w:val="0"/>
          <w:marRight w:val="0"/>
          <w:marTop w:val="0"/>
          <w:marBottom w:val="0"/>
          <w:divBdr>
            <w:top w:val="none" w:sz="0" w:space="0" w:color="auto"/>
            <w:left w:val="none" w:sz="0" w:space="0" w:color="auto"/>
            <w:bottom w:val="none" w:sz="0" w:space="0" w:color="auto"/>
            <w:right w:val="none" w:sz="0" w:space="0" w:color="auto"/>
          </w:divBdr>
        </w:div>
        <w:div w:id="1741245786">
          <w:marLeft w:val="0"/>
          <w:marRight w:val="0"/>
          <w:marTop w:val="0"/>
          <w:marBottom w:val="0"/>
          <w:divBdr>
            <w:top w:val="none" w:sz="0" w:space="0" w:color="auto"/>
            <w:left w:val="none" w:sz="0" w:space="0" w:color="auto"/>
            <w:bottom w:val="none" w:sz="0" w:space="0" w:color="auto"/>
            <w:right w:val="none" w:sz="0" w:space="0" w:color="auto"/>
          </w:divBdr>
        </w:div>
        <w:div w:id="1750611425">
          <w:marLeft w:val="0"/>
          <w:marRight w:val="0"/>
          <w:marTop w:val="0"/>
          <w:marBottom w:val="0"/>
          <w:divBdr>
            <w:top w:val="none" w:sz="0" w:space="0" w:color="auto"/>
            <w:left w:val="none" w:sz="0" w:space="0" w:color="auto"/>
            <w:bottom w:val="none" w:sz="0" w:space="0" w:color="auto"/>
            <w:right w:val="none" w:sz="0" w:space="0" w:color="auto"/>
          </w:divBdr>
        </w:div>
        <w:div w:id="1774205602">
          <w:marLeft w:val="0"/>
          <w:marRight w:val="0"/>
          <w:marTop w:val="0"/>
          <w:marBottom w:val="0"/>
          <w:divBdr>
            <w:top w:val="none" w:sz="0" w:space="0" w:color="auto"/>
            <w:left w:val="none" w:sz="0" w:space="0" w:color="auto"/>
            <w:bottom w:val="none" w:sz="0" w:space="0" w:color="auto"/>
            <w:right w:val="none" w:sz="0" w:space="0" w:color="auto"/>
          </w:divBdr>
        </w:div>
        <w:div w:id="1797483903">
          <w:marLeft w:val="0"/>
          <w:marRight w:val="0"/>
          <w:marTop w:val="0"/>
          <w:marBottom w:val="0"/>
          <w:divBdr>
            <w:top w:val="none" w:sz="0" w:space="0" w:color="auto"/>
            <w:left w:val="none" w:sz="0" w:space="0" w:color="auto"/>
            <w:bottom w:val="none" w:sz="0" w:space="0" w:color="auto"/>
            <w:right w:val="none" w:sz="0" w:space="0" w:color="auto"/>
          </w:divBdr>
        </w:div>
        <w:div w:id="1828521087">
          <w:marLeft w:val="0"/>
          <w:marRight w:val="0"/>
          <w:marTop w:val="0"/>
          <w:marBottom w:val="0"/>
          <w:divBdr>
            <w:top w:val="none" w:sz="0" w:space="0" w:color="auto"/>
            <w:left w:val="none" w:sz="0" w:space="0" w:color="auto"/>
            <w:bottom w:val="none" w:sz="0" w:space="0" w:color="auto"/>
            <w:right w:val="none" w:sz="0" w:space="0" w:color="auto"/>
          </w:divBdr>
        </w:div>
        <w:div w:id="1829051298">
          <w:marLeft w:val="0"/>
          <w:marRight w:val="0"/>
          <w:marTop w:val="0"/>
          <w:marBottom w:val="0"/>
          <w:divBdr>
            <w:top w:val="none" w:sz="0" w:space="0" w:color="auto"/>
            <w:left w:val="none" w:sz="0" w:space="0" w:color="auto"/>
            <w:bottom w:val="none" w:sz="0" w:space="0" w:color="auto"/>
            <w:right w:val="none" w:sz="0" w:space="0" w:color="auto"/>
          </w:divBdr>
        </w:div>
        <w:div w:id="1846171521">
          <w:marLeft w:val="0"/>
          <w:marRight w:val="0"/>
          <w:marTop w:val="0"/>
          <w:marBottom w:val="0"/>
          <w:divBdr>
            <w:top w:val="none" w:sz="0" w:space="0" w:color="auto"/>
            <w:left w:val="none" w:sz="0" w:space="0" w:color="auto"/>
            <w:bottom w:val="none" w:sz="0" w:space="0" w:color="auto"/>
            <w:right w:val="none" w:sz="0" w:space="0" w:color="auto"/>
          </w:divBdr>
        </w:div>
        <w:div w:id="1854758224">
          <w:marLeft w:val="0"/>
          <w:marRight w:val="0"/>
          <w:marTop w:val="0"/>
          <w:marBottom w:val="0"/>
          <w:divBdr>
            <w:top w:val="none" w:sz="0" w:space="0" w:color="auto"/>
            <w:left w:val="none" w:sz="0" w:space="0" w:color="auto"/>
            <w:bottom w:val="none" w:sz="0" w:space="0" w:color="auto"/>
            <w:right w:val="none" w:sz="0" w:space="0" w:color="auto"/>
          </w:divBdr>
        </w:div>
        <w:div w:id="1902401665">
          <w:marLeft w:val="0"/>
          <w:marRight w:val="0"/>
          <w:marTop w:val="0"/>
          <w:marBottom w:val="0"/>
          <w:divBdr>
            <w:top w:val="none" w:sz="0" w:space="0" w:color="auto"/>
            <w:left w:val="none" w:sz="0" w:space="0" w:color="auto"/>
            <w:bottom w:val="none" w:sz="0" w:space="0" w:color="auto"/>
            <w:right w:val="none" w:sz="0" w:space="0" w:color="auto"/>
          </w:divBdr>
        </w:div>
        <w:div w:id="1925676183">
          <w:marLeft w:val="0"/>
          <w:marRight w:val="0"/>
          <w:marTop w:val="0"/>
          <w:marBottom w:val="0"/>
          <w:divBdr>
            <w:top w:val="none" w:sz="0" w:space="0" w:color="auto"/>
            <w:left w:val="none" w:sz="0" w:space="0" w:color="auto"/>
            <w:bottom w:val="none" w:sz="0" w:space="0" w:color="auto"/>
            <w:right w:val="none" w:sz="0" w:space="0" w:color="auto"/>
          </w:divBdr>
        </w:div>
        <w:div w:id="1936668528">
          <w:marLeft w:val="0"/>
          <w:marRight w:val="0"/>
          <w:marTop w:val="0"/>
          <w:marBottom w:val="0"/>
          <w:divBdr>
            <w:top w:val="none" w:sz="0" w:space="0" w:color="auto"/>
            <w:left w:val="none" w:sz="0" w:space="0" w:color="auto"/>
            <w:bottom w:val="none" w:sz="0" w:space="0" w:color="auto"/>
            <w:right w:val="none" w:sz="0" w:space="0" w:color="auto"/>
          </w:divBdr>
        </w:div>
        <w:div w:id="1938899882">
          <w:marLeft w:val="0"/>
          <w:marRight w:val="0"/>
          <w:marTop w:val="0"/>
          <w:marBottom w:val="0"/>
          <w:divBdr>
            <w:top w:val="none" w:sz="0" w:space="0" w:color="auto"/>
            <w:left w:val="none" w:sz="0" w:space="0" w:color="auto"/>
            <w:bottom w:val="none" w:sz="0" w:space="0" w:color="auto"/>
            <w:right w:val="none" w:sz="0" w:space="0" w:color="auto"/>
          </w:divBdr>
        </w:div>
        <w:div w:id="1946880488">
          <w:marLeft w:val="0"/>
          <w:marRight w:val="0"/>
          <w:marTop w:val="0"/>
          <w:marBottom w:val="0"/>
          <w:divBdr>
            <w:top w:val="none" w:sz="0" w:space="0" w:color="auto"/>
            <w:left w:val="none" w:sz="0" w:space="0" w:color="auto"/>
            <w:bottom w:val="none" w:sz="0" w:space="0" w:color="auto"/>
            <w:right w:val="none" w:sz="0" w:space="0" w:color="auto"/>
          </w:divBdr>
        </w:div>
        <w:div w:id="1947153100">
          <w:marLeft w:val="0"/>
          <w:marRight w:val="0"/>
          <w:marTop w:val="0"/>
          <w:marBottom w:val="0"/>
          <w:divBdr>
            <w:top w:val="none" w:sz="0" w:space="0" w:color="auto"/>
            <w:left w:val="none" w:sz="0" w:space="0" w:color="auto"/>
            <w:bottom w:val="none" w:sz="0" w:space="0" w:color="auto"/>
            <w:right w:val="none" w:sz="0" w:space="0" w:color="auto"/>
          </w:divBdr>
        </w:div>
        <w:div w:id="1956787516">
          <w:marLeft w:val="0"/>
          <w:marRight w:val="0"/>
          <w:marTop w:val="0"/>
          <w:marBottom w:val="0"/>
          <w:divBdr>
            <w:top w:val="none" w:sz="0" w:space="0" w:color="auto"/>
            <w:left w:val="none" w:sz="0" w:space="0" w:color="auto"/>
            <w:bottom w:val="none" w:sz="0" w:space="0" w:color="auto"/>
            <w:right w:val="none" w:sz="0" w:space="0" w:color="auto"/>
          </w:divBdr>
        </w:div>
        <w:div w:id="1956866396">
          <w:marLeft w:val="0"/>
          <w:marRight w:val="0"/>
          <w:marTop w:val="0"/>
          <w:marBottom w:val="0"/>
          <w:divBdr>
            <w:top w:val="none" w:sz="0" w:space="0" w:color="auto"/>
            <w:left w:val="none" w:sz="0" w:space="0" w:color="auto"/>
            <w:bottom w:val="none" w:sz="0" w:space="0" w:color="auto"/>
            <w:right w:val="none" w:sz="0" w:space="0" w:color="auto"/>
          </w:divBdr>
        </w:div>
        <w:div w:id="1970744566">
          <w:marLeft w:val="0"/>
          <w:marRight w:val="0"/>
          <w:marTop w:val="0"/>
          <w:marBottom w:val="0"/>
          <w:divBdr>
            <w:top w:val="none" w:sz="0" w:space="0" w:color="auto"/>
            <w:left w:val="none" w:sz="0" w:space="0" w:color="auto"/>
            <w:bottom w:val="none" w:sz="0" w:space="0" w:color="auto"/>
            <w:right w:val="none" w:sz="0" w:space="0" w:color="auto"/>
          </w:divBdr>
        </w:div>
        <w:div w:id="1972440586">
          <w:marLeft w:val="0"/>
          <w:marRight w:val="0"/>
          <w:marTop w:val="0"/>
          <w:marBottom w:val="0"/>
          <w:divBdr>
            <w:top w:val="none" w:sz="0" w:space="0" w:color="auto"/>
            <w:left w:val="none" w:sz="0" w:space="0" w:color="auto"/>
            <w:bottom w:val="none" w:sz="0" w:space="0" w:color="auto"/>
            <w:right w:val="none" w:sz="0" w:space="0" w:color="auto"/>
          </w:divBdr>
        </w:div>
        <w:div w:id="2004431552">
          <w:marLeft w:val="0"/>
          <w:marRight w:val="0"/>
          <w:marTop w:val="0"/>
          <w:marBottom w:val="0"/>
          <w:divBdr>
            <w:top w:val="none" w:sz="0" w:space="0" w:color="auto"/>
            <w:left w:val="none" w:sz="0" w:space="0" w:color="auto"/>
            <w:bottom w:val="none" w:sz="0" w:space="0" w:color="auto"/>
            <w:right w:val="none" w:sz="0" w:space="0" w:color="auto"/>
          </w:divBdr>
        </w:div>
        <w:div w:id="2020085324">
          <w:marLeft w:val="0"/>
          <w:marRight w:val="0"/>
          <w:marTop w:val="0"/>
          <w:marBottom w:val="0"/>
          <w:divBdr>
            <w:top w:val="none" w:sz="0" w:space="0" w:color="auto"/>
            <w:left w:val="none" w:sz="0" w:space="0" w:color="auto"/>
            <w:bottom w:val="none" w:sz="0" w:space="0" w:color="auto"/>
            <w:right w:val="none" w:sz="0" w:space="0" w:color="auto"/>
          </w:divBdr>
        </w:div>
        <w:div w:id="2038046413">
          <w:marLeft w:val="0"/>
          <w:marRight w:val="0"/>
          <w:marTop w:val="0"/>
          <w:marBottom w:val="0"/>
          <w:divBdr>
            <w:top w:val="none" w:sz="0" w:space="0" w:color="auto"/>
            <w:left w:val="none" w:sz="0" w:space="0" w:color="auto"/>
            <w:bottom w:val="none" w:sz="0" w:space="0" w:color="auto"/>
            <w:right w:val="none" w:sz="0" w:space="0" w:color="auto"/>
          </w:divBdr>
        </w:div>
        <w:div w:id="2042122863">
          <w:marLeft w:val="0"/>
          <w:marRight w:val="0"/>
          <w:marTop w:val="0"/>
          <w:marBottom w:val="0"/>
          <w:divBdr>
            <w:top w:val="none" w:sz="0" w:space="0" w:color="auto"/>
            <w:left w:val="none" w:sz="0" w:space="0" w:color="auto"/>
            <w:bottom w:val="none" w:sz="0" w:space="0" w:color="auto"/>
            <w:right w:val="none" w:sz="0" w:space="0" w:color="auto"/>
          </w:divBdr>
        </w:div>
        <w:div w:id="2067020313">
          <w:marLeft w:val="0"/>
          <w:marRight w:val="0"/>
          <w:marTop w:val="0"/>
          <w:marBottom w:val="0"/>
          <w:divBdr>
            <w:top w:val="none" w:sz="0" w:space="0" w:color="auto"/>
            <w:left w:val="none" w:sz="0" w:space="0" w:color="auto"/>
            <w:bottom w:val="none" w:sz="0" w:space="0" w:color="auto"/>
            <w:right w:val="none" w:sz="0" w:space="0" w:color="auto"/>
          </w:divBdr>
        </w:div>
        <w:div w:id="2094231684">
          <w:marLeft w:val="0"/>
          <w:marRight w:val="0"/>
          <w:marTop w:val="0"/>
          <w:marBottom w:val="0"/>
          <w:divBdr>
            <w:top w:val="none" w:sz="0" w:space="0" w:color="auto"/>
            <w:left w:val="none" w:sz="0" w:space="0" w:color="auto"/>
            <w:bottom w:val="none" w:sz="0" w:space="0" w:color="auto"/>
            <w:right w:val="none" w:sz="0" w:space="0" w:color="auto"/>
          </w:divBdr>
        </w:div>
        <w:div w:id="2115902633">
          <w:marLeft w:val="0"/>
          <w:marRight w:val="0"/>
          <w:marTop w:val="0"/>
          <w:marBottom w:val="0"/>
          <w:divBdr>
            <w:top w:val="none" w:sz="0" w:space="0" w:color="auto"/>
            <w:left w:val="none" w:sz="0" w:space="0" w:color="auto"/>
            <w:bottom w:val="none" w:sz="0" w:space="0" w:color="auto"/>
            <w:right w:val="none" w:sz="0" w:space="0" w:color="auto"/>
          </w:divBdr>
        </w:div>
        <w:div w:id="2122147195">
          <w:marLeft w:val="0"/>
          <w:marRight w:val="0"/>
          <w:marTop w:val="0"/>
          <w:marBottom w:val="0"/>
          <w:divBdr>
            <w:top w:val="none" w:sz="0" w:space="0" w:color="auto"/>
            <w:left w:val="none" w:sz="0" w:space="0" w:color="auto"/>
            <w:bottom w:val="none" w:sz="0" w:space="0" w:color="auto"/>
            <w:right w:val="none" w:sz="0" w:space="0" w:color="auto"/>
          </w:divBdr>
        </w:div>
        <w:div w:id="2144342900">
          <w:marLeft w:val="0"/>
          <w:marRight w:val="0"/>
          <w:marTop w:val="0"/>
          <w:marBottom w:val="0"/>
          <w:divBdr>
            <w:top w:val="none" w:sz="0" w:space="0" w:color="auto"/>
            <w:left w:val="none" w:sz="0" w:space="0" w:color="auto"/>
            <w:bottom w:val="none" w:sz="0" w:space="0" w:color="auto"/>
            <w:right w:val="none" w:sz="0" w:space="0" w:color="auto"/>
          </w:divBdr>
        </w:div>
      </w:divsChild>
    </w:div>
    <w:div w:id="764228151">
      <w:bodyDiv w:val="1"/>
      <w:marLeft w:val="0"/>
      <w:marRight w:val="0"/>
      <w:marTop w:val="0"/>
      <w:marBottom w:val="0"/>
      <w:divBdr>
        <w:top w:val="none" w:sz="0" w:space="0" w:color="auto"/>
        <w:left w:val="none" w:sz="0" w:space="0" w:color="auto"/>
        <w:bottom w:val="none" w:sz="0" w:space="0" w:color="auto"/>
        <w:right w:val="none" w:sz="0" w:space="0" w:color="auto"/>
      </w:divBdr>
    </w:div>
    <w:div w:id="1096636986">
      <w:bodyDiv w:val="1"/>
      <w:marLeft w:val="0"/>
      <w:marRight w:val="0"/>
      <w:marTop w:val="0"/>
      <w:marBottom w:val="0"/>
      <w:divBdr>
        <w:top w:val="none" w:sz="0" w:space="0" w:color="auto"/>
        <w:left w:val="none" w:sz="0" w:space="0" w:color="auto"/>
        <w:bottom w:val="none" w:sz="0" w:space="0" w:color="auto"/>
        <w:right w:val="none" w:sz="0" w:space="0" w:color="auto"/>
      </w:divBdr>
    </w:div>
    <w:div w:id="1581141392">
      <w:bodyDiv w:val="1"/>
      <w:marLeft w:val="0"/>
      <w:marRight w:val="0"/>
      <w:marTop w:val="0"/>
      <w:marBottom w:val="0"/>
      <w:divBdr>
        <w:top w:val="none" w:sz="0" w:space="0" w:color="auto"/>
        <w:left w:val="none" w:sz="0" w:space="0" w:color="auto"/>
        <w:bottom w:val="none" w:sz="0" w:space="0" w:color="auto"/>
        <w:right w:val="none" w:sz="0" w:space="0" w:color="auto"/>
      </w:divBdr>
      <w:divsChild>
        <w:div w:id="129565648">
          <w:marLeft w:val="0"/>
          <w:marRight w:val="0"/>
          <w:marTop w:val="0"/>
          <w:marBottom w:val="0"/>
          <w:divBdr>
            <w:top w:val="none" w:sz="0" w:space="0" w:color="auto"/>
            <w:left w:val="none" w:sz="0" w:space="0" w:color="auto"/>
            <w:bottom w:val="none" w:sz="0" w:space="0" w:color="auto"/>
            <w:right w:val="none" w:sz="0" w:space="0" w:color="auto"/>
          </w:divBdr>
        </w:div>
        <w:div w:id="212619721">
          <w:marLeft w:val="0"/>
          <w:marRight w:val="0"/>
          <w:marTop w:val="0"/>
          <w:marBottom w:val="0"/>
          <w:divBdr>
            <w:top w:val="none" w:sz="0" w:space="0" w:color="auto"/>
            <w:left w:val="none" w:sz="0" w:space="0" w:color="auto"/>
            <w:bottom w:val="none" w:sz="0" w:space="0" w:color="auto"/>
            <w:right w:val="none" w:sz="0" w:space="0" w:color="auto"/>
          </w:divBdr>
        </w:div>
        <w:div w:id="363672006">
          <w:marLeft w:val="0"/>
          <w:marRight w:val="0"/>
          <w:marTop w:val="0"/>
          <w:marBottom w:val="0"/>
          <w:divBdr>
            <w:top w:val="none" w:sz="0" w:space="0" w:color="auto"/>
            <w:left w:val="none" w:sz="0" w:space="0" w:color="auto"/>
            <w:bottom w:val="none" w:sz="0" w:space="0" w:color="auto"/>
            <w:right w:val="none" w:sz="0" w:space="0" w:color="auto"/>
          </w:divBdr>
        </w:div>
        <w:div w:id="617299446">
          <w:marLeft w:val="0"/>
          <w:marRight w:val="0"/>
          <w:marTop w:val="0"/>
          <w:marBottom w:val="0"/>
          <w:divBdr>
            <w:top w:val="none" w:sz="0" w:space="0" w:color="auto"/>
            <w:left w:val="none" w:sz="0" w:space="0" w:color="auto"/>
            <w:bottom w:val="none" w:sz="0" w:space="0" w:color="auto"/>
            <w:right w:val="none" w:sz="0" w:space="0" w:color="auto"/>
          </w:divBdr>
        </w:div>
        <w:div w:id="994993720">
          <w:marLeft w:val="0"/>
          <w:marRight w:val="0"/>
          <w:marTop w:val="0"/>
          <w:marBottom w:val="0"/>
          <w:divBdr>
            <w:top w:val="none" w:sz="0" w:space="0" w:color="auto"/>
            <w:left w:val="none" w:sz="0" w:space="0" w:color="auto"/>
            <w:bottom w:val="none" w:sz="0" w:space="0" w:color="auto"/>
            <w:right w:val="none" w:sz="0" w:space="0" w:color="auto"/>
          </w:divBdr>
        </w:div>
      </w:divsChild>
    </w:div>
    <w:div w:id="1613630742">
      <w:bodyDiv w:val="1"/>
      <w:marLeft w:val="0"/>
      <w:marRight w:val="0"/>
      <w:marTop w:val="0"/>
      <w:marBottom w:val="0"/>
      <w:divBdr>
        <w:top w:val="none" w:sz="0" w:space="0" w:color="auto"/>
        <w:left w:val="none" w:sz="0" w:space="0" w:color="auto"/>
        <w:bottom w:val="none" w:sz="0" w:space="0" w:color="auto"/>
        <w:right w:val="none" w:sz="0" w:space="0" w:color="auto"/>
      </w:divBdr>
      <w:divsChild>
        <w:div w:id="51579923">
          <w:marLeft w:val="0"/>
          <w:marRight w:val="0"/>
          <w:marTop w:val="0"/>
          <w:marBottom w:val="0"/>
          <w:divBdr>
            <w:top w:val="none" w:sz="0" w:space="0" w:color="auto"/>
            <w:left w:val="none" w:sz="0" w:space="0" w:color="auto"/>
            <w:bottom w:val="none" w:sz="0" w:space="0" w:color="auto"/>
            <w:right w:val="none" w:sz="0" w:space="0" w:color="auto"/>
          </w:divBdr>
        </w:div>
        <w:div w:id="65537292">
          <w:marLeft w:val="0"/>
          <w:marRight w:val="0"/>
          <w:marTop w:val="0"/>
          <w:marBottom w:val="0"/>
          <w:divBdr>
            <w:top w:val="none" w:sz="0" w:space="0" w:color="auto"/>
            <w:left w:val="none" w:sz="0" w:space="0" w:color="auto"/>
            <w:bottom w:val="none" w:sz="0" w:space="0" w:color="auto"/>
            <w:right w:val="none" w:sz="0" w:space="0" w:color="auto"/>
          </w:divBdr>
        </w:div>
        <w:div w:id="116879102">
          <w:marLeft w:val="0"/>
          <w:marRight w:val="0"/>
          <w:marTop w:val="0"/>
          <w:marBottom w:val="0"/>
          <w:divBdr>
            <w:top w:val="none" w:sz="0" w:space="0" w:color="auto"/>
            <w:left w:val="none" w:sz="0" w:space="0" w:color="auto"/>
            <w:bottom w:val="none" w:sz="0" w:space="0" w:color="auto"/>
            <w:right w:val="none" w:sz="0" w:space="0" w:color="auto"/>
          </w:divBdr>
        </w:div>
        <w:div w:id="156189863">
          <w:marLeft w:val="0"/>
          <w:marRight w:val="0"/>
          <w:marTop w:val="0"/>
          <w:marBottom w:val="0"/>
          <w:divBdr>
            <w:top w:val="none" w:sz="0" w:space="0" w:color="auto"/>
            <w:left w:val="none" w:sz="0" w:space="0" w:color="auto"/>
            <w:bottom w:val="none" w:sz="0" w:space="0" w:color="auto"/>
            <w:right w:val="none" w:sz="0" w:space="0" w:color="auto"/>
          </w:divBdr>
        </w:div>
        <w:div w:id="163010091">
          <w:marLeft w:val="0"/>
          <w:marRight w:val="0"/>
          <w:marTop w:val="0"/>
          <w:marBottom w:val="0"/>
          <w:divBdr>
            <w:top w:val="none" w:sz="0" w:space="0" w:color="auto"/>
            <w:left w:val="none" w:sz="0" w:space="0" w:color="auto"/>
            <w:bottom w:val="none" w:sz="0" w:space="0" w:color="auto"/>
            <w:right w:val="none" w:sz="0" w:space="0" w:color="auto"/>
          </w:divBdr>
        </w:div>
        <w:div w:id="177552029">
          <w:marLeft w:val="0"/>
          <w:marRight w:val="0"/>
          <w:marTop w:val="0"/>
          <w:marBottom w:val="0"/>
          <w:divBdr>
            <w:top w:val="none" w:sz="0" w:space="0" w:color="auto"/>
            <w:left w:val="none" w:sz="0" w:space="0" w:color="auto"/>
            <w:bottom w:val="none" w:sz="0" w:space="0" w:color="auto"/>
            <w:right w:val="none" w:sz="0" w:space="0" w:color="auto"/>
          </w:divBdr>
        </w:div>
        <w:div w:id="185024530">
          <w:marLeft w:val="0"/>
          <w:marRight w:val="0"/>
          <w:marTop w:val="0"/>
          <w:marBottom w:val="0"/>
          <w:divBdr>
            <w:top w:val="none" w:sz="0" w:space="0" w:color="auto"/>
            <w:left w:val="none" w:sz="0" w:space="0" w:color="auto"/>
            <w:bottom w:val="none" w:sz="0" w:space="0" w:color="auto"/>
            <w:right w:val="none" w:sz="0" w:space="0" w:color="auto"/>
          </w:divBdr>
        </w:div>
        <w:div w:id="220408371">
          <w:marLeft w:val="0"/>
          <w:marRight w:val="0"/>
          <w:marTop w:val="0"/>
          <w:marBottom w:val="0"/>
          <w:divBdr>
            <w:top w:val="none" w:sz="0" w:space="0" w:color="auto"/>
            <w:left w:val="none" w:sz="0" w:space="0" w:color="auto"/>
            <w:bottom w:val="none" w:sz="0" w:space="0" w:color="auto"/>
            <w:right w:val="none" w:sz="0" w:space="0" w:color="auto"/>
          </w:divBdr>
        </w:div>
        <w:div w:id="278999288">
          <w:marLeft w:val="0"/>
          <w:marRight w:val="0"/>
          <w:marTop w:val="0"/>
          <w:marBottom w:val="0"/>
          <w:divBdr>
            <w:top w:val="none" w:sz="0" w:space="0" w:color="auto"/>
            <w:left w:val="none" w:sz="0" w:space="0" w:color="auto"/>
            <w:bottom w:val="none" w:sz="0" w:space="0" w:color="auto"/>
            <w:right w:val="none" w:sz="0" w:space="0" w:color="auto"/>
          </w:divBdr>
        </w:div>
        <w:div w:id="296229704">
          <w:marLeft w:val="0"/>
          <w:marRight w:val="0"/>
          <w:marTop w:val="0"/>
          <w:marBottom w:val="0"/>
          <w:divBdr>
            <w:top w:val="none" w:sz="0" w:space="0" w:color="auto"/>
            <w:left w:val="none" w:sz="0" w:space="0" w:color="auto"/>
            <w:bottom w:val="none" w:sz="0" w:space="0" w:color="auto"/>
            <w:right w:val="none" w:sz="0" w:space="0" w:color="auto"/>
          </w:divBdr>
        </w:div>
        <w:div w:id="357512951">
          <w:marLeft w:val="0"/>
          <w:marRight w:val="0"/>
          <w:marTop w:val="0"/>
          <w:marBottom w:val="0"/>
          <w:divBdr>
            <w:top w:val="none" w:sz="0" w:space="0" w:color="auto"/>
            <w:left w:val="none" w:sz="0" w:space="0" w:color="auto"/>
            <w:bottom w:val="none" w:sz="0" w:space="0" w:color="auto"/>
            <w:right w:val="none" w:sz="0" w:space="0" w:color="auto"/>
          </w:divBdr>
        </w:div>
        <w:div w:id="365377733">
          <w:marLeft w:val="0"/>
          <w:marRight w:val="0"/>
          <w:marTop w:val="0"/>
          <w:marBottom w:val="0"/>
          <w:divBdr>
            <w:top w:val="none" w:sz="0" w:space="0" w:color="auto"/>
            <w:left w:val="none" w:sz="0" w:space="0" w:color="auto"/>
            <w:bottom w:val="none" w:sz="0" w:space="0" w:color="auto"/>
            <w:right w:val="none" w:sz="0" w:space="0" w:color="auto"/>
          </w:divBdr>
        </w:div>
        <w:div w:id="416943081">
          <w:marLeft w:val="0"/>
          <w:marRight w:val="0"/>
          <w:marTop w:val="0"/>
          <w:marBottom w:val="0"/>
          <w:divBdr>
            <w:top w:val="none" w:sz="0" w:space="0" w:color="auto"/>
            <w:left w:val="none" w:sz="0" w:space="0" w:color="auto"/>
            <w:bottom w:val="none" w:sz="0" w:space="0" w:color="auto"/>
            <w:right w:val="none" w:sz="0" w:space="0" w:color="auto"/>
          </w:divBdr>
        </w:div>
        <w:div w:id="459963120">
          <w:marLeft w:val="0"/>
          <w:marRight w:val="0"/>
          <w:marTop w:val="0"/>
          <w:marBottom w:val="0"/>
          <w:divBdr>
            <w:top w:val="none" w:sz="0" w:space="0" w:color="auto"/>
            <w:left w:val="none" w:sz="0" w:space="0" w:color="auto"/>
            <w:bottom w:val="none" w:sz="0" w:space="0" w:color="auto"/>
            <w:right w:val="none" w:sz="0" w:space="0" w:color="auto"/>
          </w:divBdr>
        </w:div>
        <w:div w:id="474108800">
          <w:marLeft w:val="0"/>
          <w:marRight w:val="0"/>
          <w:marTop w:val="0"/>
          <w:marBottom w:val="0"/>
          <w:divBdr>
            <w:top w:val="none" w:sz="0" w:space="0" w:color="auto"/>
            <w:left w:val="none" w:sz="0" w:space="0" w:color="auto"/>
            <w:bottom w:val="none" w:sz="0" w:space="0" w:color="auto"/>
            <w:right w:val="none" w:sz="0" w:space="0" w:color="auto"/>
          </w:divBdr>
        </w:div>
        <w:div w:id="479885212">
          <w:marLeft w:val="0"/>
          <w:marRight w:val="0"/>
          <w:marTop w:val="0"/>
          <w:marBottom w:val="0"/>
          <w:divBdr>
            <w:top w:val="none" w:sz="0" w:space="0" w:color="auto"/>
            <w:left w:val="none" w:sz="0" w:space="0" w:color="auto"/>
            <w:bottom w:val="none" w:sz="0" w:space="0" w:color="auto"/>
            <w:right w:val="none" w:sz="0" w:space="0" w:color="auto"/>
          </w:divBdr>
        </w:div>
        <w:div w:id="488331955">
          <w:marLeft w:val="0"/>
          <w:marRight w:val="0"/>
          <w:marTop w:val="0"/>
          <w:marBottom w:val="0"/>
          <w:divBdr>
            <w:top w:val="none" w:sz="0" w:space="0" w:color="auto"/>
            <w:left w:val="none" w:sz="0" w:space="0" w:color="auto"/>
            <w:bottom w:val="none" w:sz="0" w:space="0" w:color="auto"/>
            <w:right w:val="none" w:sz="0" w:space="0" w:color="auto"/>
          </w:divBdr>
        </w:div>
        <w:div w:id="488711846">
          <w:marLeft w:val="0"/>
          <w:marRight w:val="0"/>
          <w:marTop w:val="0"/>
          <w:marBottom w:val="0"/>
          <w:divBdr>
            <w:top w:val="none" w:sz="0" w:space="0" w:color="auto"/>
            <w:left w:val="none" w:sz="0" w:space="0" w:color="auto"/>
            <w:bottom w:val="none" w:sz="0" w:space="0" w:color="auto"/>
            <w:right w:val="none" w:sz="0" w:space="0" w:color="auto"/>
          </w:divBdr>
        </w:div>
        <w:div w:id="493106360">
          <w:marLeft w:val="0"/>
          <w:marRight w:val="0"/>
          <w:marTop w:val="0"/>
          <w:marBottom w:val="0"/>
          <w:divBdr>
            <w:top w:val="none" w:sz="0" w:space="0" w:color="auto"/>
            <w:left w:val="none" w:sz="0" w:space="0" w:color="auto"/>
            <w:bottom w:val="none" w:sz="0" w:space="0" w:color="auto"/>
            <w:right w:val="none" w:sz="0" w:space="0" w:color="auto"/>
          </w:divBdr>
        </w:div>
        <w:div w:id="594174960">
          <w:marLeft w:val="0"/>
          <w:marRight w:val="0"/>
          <w:marTop w:val="0"/>
          <w:marBottom w:val="0"/>
          <w:divBdr>
            <w:top w:val="none" w:sz="0" w:space="0" w:color="auto"/>
            <w:left w:val="none" w:sz="0" w:space="0" w:color="auto"/>
            <w:bottom w:val="none" w:sz="0" w:space="0" w:color="auto"/>
            <w:right w:val="none" w:sz="0" w:space="0" w:color="auto"/>
          </w:divBdr>
        </w:div>
        <w:div w:id="601954736">
          <w:marLeft w:val="0"/>
          <w:marRight w:val="0"/>
          <w:marTop w:val="0"/>
          <w:marBottom w:val="0"/>
          <w:divBdr>
            <w:top w:val="none" w:sz="0" w:space="0" w:color="auto"/>
            <w:left w:val="none" w:sz="0" w:space="0" w:color="auto"/>
            <w:bottom w:val="none" w:sz="0" w:space="0" w:color="auto"/>
            <w:right w:val="none" w:sz="0" w:space="0" w:color="auto"/>
          </w:divBdr>
        </w:div>
        <w:div w:id="613290717">
          <w:marLeft w:val="0"/>
          <w:marRight w:val="0"/>
          <w:marTop w:val="0"/>
          <w:marBottom w:val="0"/>
          <w:divBdr>
            <w:top w:val="none" w:sz="0" w:space="0" w:color="auto"/>
            <w:left w:val="none" w:sz="0" w:space="0" w:color="auto"/>
            <w:bottom w:val="none" w:sz="0" w:space="0" w:color="auto"/>
            <w:right w:val="none" w:sz="0" w:space="0" w:color="auto"/>
          </w:divBdr>
        </w:div>
        <w:div w:id="652373678">
          <w:marLeft w:val="0"/>
          <w:marRight w:val="0"/>
          <w:marTop w:val="0"/>
          <w:marBottom w:val="0"/>
          <w:divBdr>
            <w:top w:val="none" w:sz="0" w:space="0" w:color="auto"/>
            <w:left w:val="none" w:sz="0" w:space="0" w:color="auto"/>
            <w:bottom w:val="none" w:sz="0" w:space="0" w:color="auto"/>
            <w:right w:val="none" w:sz="0" w:space="0" w:color="auto"/>
          </w:divBdr>
        </w:div>
        <w:div w:id="666635887">
          <w:marLeft w:val="0"/>
          <w:marRight w:val="0"/>
          <w:marTop w:val="0"/>
          <w:marBottom w:val="0"/>
          <w:divBdr>
            <w:top w:val="none" w:sz="0" w:space="0" w:color="auto"/>
            <w:left w:val="none" w:sz="0" w:space="0" w:color="auto"/>
            <w:bottom w:val="none" w:sz="0" w:space="0" w:color="auto"/>
            <w:right w:val="none" w:sz="0" w:space="0" w:color="auto"/>
          </w:divBdr>
        </w:div>
        <w:div w:id="687021984">
          <w:marLeft w:val="0"/>
          <w:marRight w:val="0"/>
          <w:marTop w:val="0"/>
          <w:marBottom w:val="0"/>
          <w:divBdr>
            <w:top w:val="none" w:sz="0" w:space="0" w:color="auto"/>
            <w:left w:val="none" w:sz="0" w:space="0" w:color="auto"/>
            <w:bottom w:val="none" w:sz="0" w:space="0" w:color="auto"/>
            <w:right w:val="none" w:sz="0" w:space="0" w:color="auto"/>
          </w:divBdr>
        </w:div>
        <w:div w:id="695545784">
          <w:marLeft w:val="0"/>
          <w:marRight w:val="0"/>
          <w:marTop w:val="0"/>
          <w:marBottom w:val="0"/>
          <w:divBdr>
            <w:top w:val="none" w:sz="0" w:space="0" w:color="auto"/>
            <w:left w:val="none" w:sz="0" w:space="0" w:color="auto"/>
            <w:bottom w:val="none" w:sz="0" w:space="0" w:color="auto"/>
            <w:right w:val="none" w:sz="0" w:space="0" w:color="auto"/>
          </w:divBdr>
        </w:div>
        <w:div w:id="724985013">
          <w:marLeft w:val="0"/>
          <w:marRight w:val="0"/>
          <w:marTop w:val="0"/>
          <w:marBottom w:val="0"/>
          <w:divBdr>
            <w:top w:val="none" w:sz="0" w:space="0" w:color="auto"/>
            <w:left w:val="none" w:sz="0" w:space="0" w:color="auto"/>
            <w:bottom w:val="none" w:sz="0" w:space="0" w:color="auto"/>
            <w:right w:val="none" w:sz="0" w:space="0" w:color="auto"/>
          </w:divBdr>
        </w:div>
        <w:div w:id="772632529">
          <w:marLeft w:val="0"/>
          <w:marRight w:val="0"/>
          <w:marTop w:val="0"/>
          <w:marBottom w:val="0"/>
          <w:divBdr>
            <w:top w:val="none" w:sz="0" w:space="0" w:color="auto"/>
            <w:left w:val="none" w:sz="0" w:space="0" w:color="auto"/>
            <w:bottom w:val="none" w:sz="0" w:space="0" w:color="auto"/>
            <w:right w:val="none" w:sz="0" w:space="0" w:color="auto"/>
          </w:divBdr>
        </w:div>
        <w:div w:id="844055810">
          <w:marLeft w:val="0"/>
          <w:marRight w:val="0"/>
          <w:marTop w:val="0"/>
          <w:marBottom w:val="0"/>
          <w:divBdr>
            <w:top w:val="none" w:sz="0" w:space="0" w:color="auto"/>
            <w:left w:val="none" w:sz="0" w:space="0" w:color="auto"/>
            <w:bottom w:val="none" w:sz="0" w:space="0" w:color="auto"/>
            <w:right w:val="none" w:sz="0" w:space="0" w:color="auto"/>
          </w:divBdr>
        </w:div>
        <w:div w:id="887692864">
          <w:marLeft w:val="0"/>
          <w:marRight w:val="0"/>
          <w:marTop w:val="0"/>
          <w:marBottom w:val="0"/>
          <w:divBdr>
            <w:top w:val="none" w:sz="0" w:space="0" w:color="auto"/>
            <w:left w:val="none" w:sz="0" w:space="0" w:color="auto"/>
            <w:bottom w:val="none" w:sz="0" w:space="0" w:color="auto"/>
            <w:right w:val="none" w:sz="0" w:space="0" w:color="auto"/>
          </w:divBdr>
        </w:div>
        <w:div w:id="913245328">
          <w:marLeft w:val="0"/>
          <w:marRight w:val="0"/>
          <w:marTop w:val="0"/>
          <w:marBottom w:val="0"/>
          <w:divBdr>
            <w:top w:val="none" w:sz="0" w:space="0" w:color="auto"/>
            <w:left w:val="none" w:sz="0" w:space="0" w:color="auto"/>
            <w:bottom w:val="none" w:sz="0" w:space="0" w:color="auto"/>
            <w:right w:val="none" w:sz="0" w:space="0" w:color="auto"/>
          </w:divBdr>
        </w:div>
        <w:div w:id="988246274">
          <w:marLeft w:val="0"/>
          <w:marRight w:val="0"/>
          <w:marTop w:val="0"/>
          <w:marBottom w:val="0"/>
          <w:divBdr>
            <w:top w:val="none" w:sz="0" w:space="0" w:color="auto"/>
            <w:left w:val="none" w:sz="0" w:space="0" w:color="auto"/>
            <w:bottom w:val="none" w:sz="0" w:space="0" w:color="auto"/>
            <w:right w:val="none" w:sz="0" w:space="0" w:color="auto"/>
          </w:divBdr>
        </w:div>
        <w:div w:id="1006592022">
          <w:marLeft w:val="0"/>
          <w:marRight w:val="0"/>
          <w:marTop w:val="0"/>
          <w:marBottom w:val="0"/>
          <w:divBdr>
            <w:top w:val="none" w:sz="0" w:space="0" w:color="auto"/>
            <w:left w:val="none" w:sz="0" w:space="0" w:color="auto"/>
            <w:bottom w:val="none" w:sz="0" w:space="0" w:color="auto"/>
            <w:right w:val="none" w:sz="0" w:space="0" w:color="auto"/>
          </w:divBdr>
        </w:div>
        <w:div w:id="1009526002">
          <w:marLeft w:val="0"/>
          <w:marRight w:val="0"/>
          <w:marTop w:val="0"/>
          <w:marBottom w:val="0"/>
          <w:divBdr>
            <w:top w:val="none" w:sz="0" w:space="0" w:color="auto"/>
            <w:left w:val="none" w:sz="0" w:space="0" w:color="auto"/>
            <w:bottom w:val="none" w:sz="0" w:space="0" w:color="auto"/>
            <w:right w:val="none" w:sz="0" w:space="0" w:color="auto"/>
          </w:divBdr>
        </w:div>
        <w:div w:id="1038748486">
          <w:marLeft w:val="0"/>
          <w:marRight w:val="0"/>
          <w:marTop w:val="0"/>
          <w:marBottom w:val="0"/>
          <w:divBdr>
            <w:top w:val="none" w:sz="0" w:space="0" w:color="auto"/>
            <w:left w:val="none" w:sz="0" w:space="0" w:color="auto"/>
            <w:bottom w:val="none" w:sz="0" w:space="0" w:color="auto"/>
            <w:right w:val="none" w:sz="0" w:space="0" w:color="auto"/>
          </w:divBdr>
        </w:div>
        <w:div w:id="1199244554">
          <w:marLeft w:val="0"/>
          <w:marRight w:val="0"/>
          <w:marTop w:val="0"/>
          <w:marBottom w:val="0"/>
          <w:divBdr>
            <w:top w:val="none" w:sz="0" w:space="0" w:color="auto"/>
            <w:left w:val="none" w:sz="0" w:space="0" w:color="auto"/>
            <w:bottom w:val="none" w:sz="0" w:space="0" w:color="auto"/>
            <w:right w:val="none" w:sz="0" w:space="0" w:color="auto"/>
          </w:divBdr>
        </w:div>
        <w:div w:id="1205293906">
          <w:marLeft w:val="0"/>
          <w:marRight w:val="0"/>
          <w:marTop w:val="0"/>
          <w:marBottom w:val="0"/>
          <w:divBdr>
            <w:top w:val="none" w:sz="0" w:space="0" w:color="auto"/>
            <w:left w:val="none" w:sz="0" w:space="0" w:color="auto"/>
            <w:bottom w:val="none" w:sz="0" w:space="0" w:color="auto"/>
            <w:right w:val="none" w:sz="0" w:space="0" w:color="auto"/>
          </w:divBdr>
        </w:div>
        <w:div w:id="1245144725">
          <w:marLeft w:val="0"/>
          <w:marRight w:val="0"/>
          <w:marTop w:val="0"/>
          <w:marBottom w:val="0"/>
          <w:divBdr>
            <w:top w:val="none" w:sz="0" w:space="0" w:color="auto"/>
            <w:left w:val="none" w:sz="0" w:space="0" w:color="auto"/>
            <w:bottom w:val="none" w:sz="0" w:space="0" w:color="auto"/>
            <w:right w:val="none" w:sz="0" w:space="0" w:color="auto"/>
          </w:divBdr>
        </w:div>
        <w:div w:id="1246108554">
          <w:marLeft w:val="0"/>
          <w:marRight w:val="0"/>
          <w:marTop w:val="0"/>
          <w:marBottom w:val="0"/>
          <w:divBdr>
            <w:top w:val="none" w:sz="0" w:space="0" w:color="auto"/>
            <w:left w:val="none" w:sz="0" w:space="0" w:color="auto"/>
            <w:bottom w:val="none" w:sz="0" w:space="0" w:color="auto"/>
            <w:right w:val="none" w:sz="0" w:space="0" w:color="auto"/>
          </w:divBdr>
        </w:div>
        <w:div w:id="1265112939">
          <w:marLeft w:val="0"/>
          <w:marRight w:val="0"/>
          <w:marTop w:val="0"/>
          <w:marBottom w:val="0"/>
          <w:divBdr>
            <w:top w:val="none" w:sz="0" w:space="0" w:color="auto"/>
            <w:left w:val="none" w:sz="0" w:space="0" w:color="auto"/>
            <w:bottom w:val="none" w:sz="0" w:space="0" w:color="auto"/>
            <w:right w:val="none" w:sz="0" w:space="0" w:color="auto"/>
          </w:divBdr>
        </w:div>
        <w:div w:id="1277559538">
          <w:marLeft w:val="0"/>
          <w:marRight w:val="0"/>
          <w:marTop w:val="0"/>
          <w:marBottom w:val="0"/>
          <w:divBdr>
            <w:top w:val="none" w:sz="0" w:space="0" w:color="auto"/>
            <w:left w:val="none" w:sz="0" w:space="0" w:color="auto"/>
            <w:bottom w:val="none" w:sz="0" w:space="0" w:color="auto"/>
            <w:right w:val="none" w:sz="0" w:space="0" w:color="auto"/>
          </w:divBdr>
        </w:div>
        <w:div w:id="1337225054">
          <w:marLeft w:val="0"/>
          <w:marRight w:val="0"/>
          <w:marTop w:val="0"/>
          <w:marBottom w:val="0"/>
          <w:divBdr>
            <w:top w:val="none" w:sz="0" w:space="0" w:color="auto"/>
            <w:left w:val="none" w:sz="0" w:space="0" w:color="auto"/>
            <w:bottom w:val="none" w:sz="0" w:space="0" w:color="auto"/>
            <w:right w:val="none" w:sz="0" w:space="0" w:color="auto"/>
          </w:divBdr>
        </w:div>
        <w:div w:id="1368870610">
          <w:marLeft w:val="0"/>
          <w:marRight w:val="0"/>
          <w:marTop w:val="0"/>
          <w:marBottom w:val="0"/>
          <w:divBdr>
            <w:top w:val="none" w:sz="0" w:space="0" w:color="auto"/>
            <w:left w:val="none" w:sz="0" w:space="0" w:color="auto"/>
            <w:bottom w:val="none" w:sz="0" w:space="0" w:color="auto"/>
            <w:right w:val="none" w:sz="0" w:space="0" w:color="auto"/>
          </w:divBdr>
        </w:div>
        <w:div w:id="1376153788">
          <w:marLeft w:val="0"/>
          <w:marRight w:val="0"/>
          <w:marTop w:val="0"/>
          <w:marBottom w:val="0"/>
          <w:divBdr>
            <w:top w:val="none" w:sz="0" w:space="0" w:color="auto"/>
            <w:left w:val="none" w:sz="0" w:space="0" w:color="auto"/>
            <w:bottom w:val="none" w:sz="0" w:space="0" w:color="auto"/>
            <w:right w:val="none" w:sz="0" w:space="0" w:color="auto"/>
          </w:divBdr>
        </w:div>
        <w:div w:id="1388993812">
          <w:marLeft w:val="0"/>
          <w:marRight w:val="0"/>
          <w:marTop w:val="0"/>
          <w:marBottom w:val="0"/>
          <w:divBdr>
            <w:top w:val="none" w:sz="0" w:space="0" w:color="auto"/>
            <w:left w:val="none" w:sz="0" w:space="0" w:color="auto"/>
            <w:bottom w:val="none" w:sz="0" w:space="0" w:color="auto"/>
            <w:right w:val="none" w:sz="0" w:space="0" w:color="auto"/>
          </w:divBdr>
        </w:div>
        <w:div w:id="1396661442">
          <w:marLeft w:val="0"/>
          <w:marRight w:val="0"/>
          <w:marTop w:val="0"/>
          <w:marBottom w:val="0"/>
          <w:divBdr>
            <w:top w:val="none" w:sz="0" w:space="0" w:color="auto"/>
            <w:left w:val="none" w:sz="0" w:space="0" w:color="auto"/>
            <w:bottom w:val="none" w:sz="0" w:space="0" w:color="auto"/>
            <w:right w:val="none" w:sz="0" w:space="0" w:color="auto"/>
          </w:divBdr>
        </w:div>
        <w:div w:id="1400900138">
          <w:marLeft w:val="0"/>
          <w:marRight w:val="0"/>
          <w:marTop w:val="0"/>
          <w:marBottom w:val="0"/>
          <w:divBdr>
            <w:top w:val="none" w:sz="0" w:space="0" w:color="auto"/>
            <w:left w:val="none" w:sz="0" w:space="0" w:color="auto"/>
            <w:bottom w:val="none" w:sz="0" w:space="0" w:color="auto"/>
            <w:right w:val="none" w:sz="0" w:space="0" w:color="auto"/>
          </w:divBdr>
        </w:div>
        <w:div w:id="1406492599">
          <w:marLeft w:val="0"/>
          <w:marRight w:val="0"/>
          <w:marTop w:val="0"/>
          <w:marBottom w:val="0"/>
          <w:divBdr>
            <w:top w:val="none" w:sz="0" w:space="0" w:color="auto"/>
            <w:left w:val="none" w:sz="0" w:space="0" w:color="auto"/>
            <w:bottom w:val="none" w:sz="0" w:space="0" w:color="auto"/>
            <w:right w:val="none" w:sz="0" w:space="0" w:color="auto"/>
          </w:divBdr>
        </w:div>
        <w:div w:id="1417559740">
          <w:marLeft w:val="0"/>
          <w:marRight w:val="0"/>
          <w:marTop w:val="0"/>
          <w:marBottom w:val="0"/>
          <w:divBdr>
            <w:top w:val="none" w:sz="0" w:space="0" w:color="auto"/>
            <w:left w:val="none" w:sz="0" w:space="0" w:color="auto"/>
            <w:bottom w:val="none" w:sz="0" w:space="0" w:color="auto"/>
            <w:right w:val="none" w:sz="0" w:space="0" w:color="auto"/>
          </w:divBdr>
        </w:div>
        <w:div w:id="1464226398">
          <w:marLeft w:val="0"/>
          <w:marRight w:val="0"/>
          <w:marTop w:val="0"/>
          <w:marBottom w:val="0"/>
          <w:divBdr>
            <w:top w:val="none" w:sz="0" w:space="0" w:color="auto"/>
            <w:left w:val="none" w:sz="0" w:space="0" w:color="auto"/>
            <w:bottom w:val="none" w:sz="0" w:space="0" w:color="auto"/>
            <w:right w:val="none" w:sz="0" w:space="0" w:color="auto"/>
          </w:divBdr>
        </w:div>
        <w:div w:id="1533608489">
          <w:marLeft w:val="0"/>
          <w:marRight w:val="0"/>
          <w:marTop w:val="0"/>
          <w:marBottom w:val="0"/>
          <w:divBdr>
            <w:top w:val="none" w:sz="0" w:space="0" w:color="auto"/>
            <w:left w:val="none" w:sz="0" w:space="0" w:color="auto"/>
            <w:bottom w:val="none" w:sz="0" w:space="0" w:color="auto"/>
            <w:right w:val="none" w:sz="0" w:space="0" w:color="auto"/>
          </w:divBdr>
        </w:div>
        <w:div w:id="1551963458">
          <w:marLeft w:val="0"/>
          <w:marRight w:val="0"/>
          <w:marTop w:val="0"/>
          <w:marBottom w:val="0"/>
          <w:divBdr>
            <w:top w:val="none" w:sz="0" w:space="0" w:color="auto"/>
            <w:left w:val="none" w:sz="0" w:space="0" w:color="auto"/>
            <w:bottom w:val="none" w:sz="0" w:space="0" w:color="auto"/>
            <w:right w:val="none" w:sz="0" w:space="0" w:color="auto"/>
          </w:divBdr>
        </w:div>
        <w:div w:id="1594435128">
          <w:marLeft w:val="0"/>
          <w:marRight w:val="0"/>
          <w:marTop w:val="0"/>
          <w:marBottom w:val="0"/>
          <w:divBdr>
            <w:top w:val="none" w:sz="0" w:space="0" w:color="auto"/>
            <w:left w:val="none" w:sz="0" w:space="0" w:color="auto"/>
            <w:bottom w:val="none" w:sz="0" w:space="0" w:color="auto"/>
            <w:right w:val="none" w:sz="0" w:space="0" w:color="auto"/>
          </w:divBdr>
        </w:div>
        <w:div w:id="1613129986">
          <w:marLeft w:val="0"/>
          <w:marRight w:val="0"/>
          <w:marTop w:val="0"/>
          <w:marBottom w:val="0"/>
          <w:divBdr>
            <w:top w:val="none" w:sz="0" w:space="0" w:color="auto"/>
            <w:left w:val="none" w:sz="0" w:space="0" w:color="auto"/>
            <w:bottom w:val="none" w:sz="0" w:space="0" w:color="auto"/>
            <w:right w:val="none" w:sz="0" w:space="0" w:color="auto"/>
          </w:divBdr>
        </w:div>
        <w:div w:id="1640379405">
          <w:marLeft w:val="0"/>
          <w:marRight w:val="0"/>
          <w:marTop w:val="0"/>
          <w:marBottom w:val="0"/>
          <w:divBdr>
            <w:top w:val="none" w:sz="0" w:space="0" w:color="auto"/>
            <w:left w:val="none" w:sz="0" w:space="0" w:color="auto"/>
            <w:bottom w:val="none" w:sz="0" w:space="0" w:color="auto"/>
            <w:right w:val="none" w:sz="0" w:space="0" w:color="auto"/>
          </w:divBdr>
        </w:div>
        <w:div w:id="1672828019">
          <w:marLeft w:val="0"/>
          <w:marRight w:val="0"/>
          <w:marTop w:val="0"/>
          <w:marBottom w:val="0"/>
          <w:divBdr>
            <w:top w:val="none" w:sz="0" w:space="0" w:color="auto"/>
            <w:left w:val="none" w:sz="0" w:space="0" w:color="auto"/>
            <w:bottom w:val="none" w:sz="0" w:space="0" w:color="auto"/>
            <w:right w:val="none" w:sz="0" w:space="0" w:color="auto"/>
          </w:divBdr>
        </w:div>
        <w:div w:id="1685857582">
          <w:marLeft w:val="0"/>
          <w:marRight w:val="0"/>
          <w:marTop w:val="0"/>
          <w:marBottom w:val="0"/>
          <w:divBdr>
            <w:top w:val="none" w:sz="0" w:space="0" w:color="auto"/>
            <w:left w:val="none" w:sz="0" w:space="0" w:color="auto"/>
            <w:bottom w:val="none" w:sz="0" w:space="0" w:color="auto"/>
            <w:right w:val="none" w:sz="0" w:space="0" w:color="auto"/>
          </w:divBdr>
        </w:div>
        <w:div w:id="1795445421">
          <w:marLeft w:val="0"/>
          <w:marRight w:val="0"/>
          <w:marTop w:val="0"/>
          <w:marBottom w:val="0"/>
          <w:divBdr>
            <w:top w:val="none" w:sz="0" w:space="0" w:color="auto"/>
            <w:left w:val="none" w:sz="0" w:space="0" w:color="auto"/>
            <w:bottom w:val="none" w:sz="0" w:space="0" w:color="auto"/>
            <w:right w:val="none" w:sz="0" w:space="0" w:color="auto"/>
          </w:divBdr>
        </w:div>
        <w:div w:id="1805538461">
          <w:marLeft w:val="0"/>
          <w:marRight w:val="0"/>
          <w:marTop w:val="0"/>
          <w:marBottom w:val="0"/>
          <w:divBdr>
            <w:top w:val="none" w:sz="0" w:space="0" w:color="auto"/>
            <w:left w:val="none" w:sz="0" w:space="0" w:color="auto"/>
            <w:bottom w:val="none" w:sz="0" w:space="0" w:color="auto"/>
            <w:right w:val="none" w:sz="0" w:space="0" w:color="auto"/>
          </w:divBdr>
        </w:div>
        <w:div w:id="1835340215">
          <w:marLeft w:val="0"/>
          <w:marRight w:val="0"/>
          <w:marTop w:val="0"/>
          <w:marBottom w:val="0"/>
          <w:divBdr>
            <w:top w:val="none" w:sz="0" w:space="0" w:color="auto"/>
            <w:left w:val="none" w:sz="0" w:space="0" w:color="auto"/>
            <w:bottom w:val="none" w:sz="0" w:space="0" w:color="auto"/>
            <w:right w:val="none" w:sz="0" w:space="0" w:color="auto"/>
          </w:divBdr>
        </w:div>
        <w:div w:id="1846704406">
          <w:marLeft w:val="0"/>
          <w:marRight w:val="0"/>
          <w:marTop w:val="0"/>
          <w:marBottom w:val="0"/>
          <w:divBdr>
            <w:top w:val="none" w:sz="0" w:space="0" w:color="auto"/>
            <w:left w:val="none" w:sz="0" w:space="0" w:color="auto"/>
            <w:bottom w:val="none" w:sz="0" w:space="0" w:color="auto"/>
            <w:right w:val="none" w:sz="0" w:space="0" w:color="auto"/>
          </w:divBdr>
        </w:div>
        <w:div w:id="1943798962">
          <w:marLeft w:val="0"/>
          <w:marRight w:val="0"/>
          <w:marTop w:val="0"/>
          <w:marBottom w:val="0"/>
          <w:divBdr>
            <w:top w:val="none" w:sz="0" w:space="0" w:color="auto"/>
            <w:left w:val="none" w:sz="0" w:space="0" w:color="auto"/>
            <w:bottom w:val="none" w:sz="0" w:space="0" w:color="auto"/>
            <w:right w:val="none" w:sz="0" w:space="0" w:color="auto"/>
          </w:divBdr>
        </w:div>
        <w:div w:id="1957128730">
          <w:marLeft w:val="0"/>
          <w:marRight w:val="0"/>
          <w:marTop w:val="0"/>
          <w:marBottom w:val="0"/>
          <w:divBdr>
            <w:top w:val="none" w:sz="0" w:space="0" w:color="auto"/>
            <w:left w:val="none" w:sz="0" w:space="0" w:color="auto"/>
            <w:bottom w:val="none" w:sz="0" w:space="0" w:color="auto"/>
            <w:right w:val="none" w:sz="0" w:space="0" w:color="auto"/>
          </w:divBdr>
        </w:div>
        <w:div w:id="1968001780">
          <w:marLeft w:val="0"/>
          <w:marRight w:val="0"/>
          <w:marTop w:val="0"/>
          <w:marBottom w:val="0"/>
          <w:divBdr>
            <w:top w:val="none" w:sz="0" w:space="0" w:color="auto"/>
            <w:left w:val="none" w:sz="0" w:space="0" w:color="auto"/>
            <w:bottom w:val="none" w:sz="0" w:space="0" w:color="auto"/>
            <w:right w:val="none" w:sz="0" w:space="0" w:color="auto"/>
          </w:divBdr>
        </w:div>
        <w:div w:id="1981230104">
          <w:marLeft w:val="0"/>
          <w:marRight w:val="0"/>
          <w:marTop w:val="0"/>
          <w:marBottom w:val="0"/>
          <w:divBdr>
            <w:top w:val="none" w:sz="0" w:space="0" w:color="auto"/>
            <w:left w:val="none" w:sz="0" w:space="0" w:color="auto"/>
            <w:bottom w:val="none" w:sz="0" w:space="0" w:color="auto"/>
            <w:right w:val="none" w:sz="0" w:space="0" w:color="auto"/>
          </w:divBdr>
        </w:div>
        <w:div w:id="2020503681">
          <w:marLeft w:val="0"/>
          <w:marRight w:val="0"/>
          <w:marTop w:val="0"/>
          <w:marBottom w:val="0"/>
          <w:divBdr>
            <w:top w:val="none" w:sz="0" w:space="0" w:color="auto"/>
            <w:left w:val="none" w:sz="0" w:space="0" w:color="auto"/>
            <w:bottom w:val="none" w:sz="0" w:space="0" w:color="auto"/>
            <w:right w:val="none" w:sz="0" w:space="0" w:color="auto"/>
          </w:divBdr>
        </w:div>
        <w:div w:id="2036691647">
          <w:marLeft w:val="0"/>
          <w:marRight w:val="0"/>
          <w:marTop w:val="0"/>
          <w:marBottom w:val="0"/>
          <w:divBdr>
            <w:top w:val="none" w:sz="0" w:space="0" w:color="auto"/>
            <w:left w:val="none" w:sz="0" w:space="0" w:color="auto"/>
            <w:bottom w:val="none" w:sz="0" w:space="0" w:color="auto"/>
            <w:right w:val="none" w:sz="0" w:space="0" w:color="auto"/>
          </w:divBdr>
        </w:div>
        <w:div w:id="2058620417">
          <w:marLeft w:val="0"/>
          <w:marRight w:val="0"/>
          <w:marTop w:val="0"/>
          <w:marBottom w:val="0"/>
          <w:divBdr>
            <w:top w:val="none" w:sz="0" w:space="0" w:color="auto"/>
            <w:left w:val="none" w:sz="0" w:space="0" w:color="auto"/>
            <w:bottom w:val="none" w:sz="0" w:space="0" w:color="auto"/>
            <w:right w:val="none" w:sz="0" w:space="0" w:color="auto"/>
          </w:divBdr>
        </w:div>
        <w:div w:id="2086994789">
          <w:marLeft w:val="0"/>
          <w:marRight w:val="0"/>
          <w:marTop w:val="0"/>
          <w:marBottom w:val="0"/>
          <w:divBdr>
            <w:top w:val="none" w:sz="0" w:space="0" w:color="auto"/>
            <w:left w:val="none" w:sz="0" w:space="0" w:color="auto"/>
            <w:bottom w:val="none" w:sz="0" w:space="0" w:color="auto"/>
            <w:right w:val="none" w:sz="0" w:space="0" w:color="auto"/>
          </w:divBdr>
        </w:div>
        <w:div w:id="2087528795">
          <w:marLeft w:val="0"/>
          <w:marRight w:val="0"/>
          <w:marTop w:val="0"/>
          <w:marBottom w:val="0"/>
          <w:divBdr>
            <w:top w:val="none" w:sz="0" w:space="0" w:color="auto"/>
            <w:left w:val="none" w:sz="0" w:space="0" w:color="auto"/>
            <w:bottom w:val="none" w:sz="0" w:space="0" w:color="auto"/>
            <w:right w:val="none" w:sz="0" w:space="0" w:color="auto"/>
          </w:divBdr>
        </w:div>
        <w:div w:id="2111004627">
          <w:marLeft w:val="0"/>
          <w:marRight w:val="0"/>
          <w:marTop w:val="0"/>
          <w:marBottom w:val="0"/>
          <w:divBdr>
            <w:top w:val="none" w:sz="0" w:space="0" w:color="auto"/>
            <w:left w:val="none" w:sz="0" w:space="0" w:color="auto"/>
            <w:bottom w:val="none" w:sz="0" w:space="0" w:color="auto"/>
            <w:right w:val="none" w:sz="0" w:space="0" w:color="auto"/>
          </w:divBdr>
        </w:div>
        <w:div w:id="2137483814">
          <w:marLeft w:val="0"/>
          <w:marRight w:val="0"/>
          <w:marTop w:val="0"/>
          <w:marBottom w:val="0"/>
          <w:divBdr>
            <w:top w:val="none" w:sz="0" w:space="0" w:color="auto"/>
            <w:left w:val="none" w:sz="0" w:space="0" w:color="auto"/>
            <w:bottom w:val="none" w:sz="0" w:space="0" w:color="auto"/>
            <w:right w:val="none" w:sz="0" w:space="0" w:color="auto"/>
          </w:divBdr>
        </w:div>
      </w:divsChild>
    </w:div>
    <w:div w:id="1835029794">
      <w:bodyDiv w:val="1"/>
      <w:marLeft w:val="0"/>
      <w:marRight w:val="0"/>
      <w:marTop w:val="0"/>
      <w:marBottom w:val="0"/>
      <w:divBdr>
        <w:top w:val="none" w:sz="0" w:space="0" w:color="auto"/>
        <w:left w:val="none" w:sz="0" w:space="0" w:color="auto"/>
        <w:bottom w:val="none" w:sz="0" w:space="0" w:color="auto"/>
        <w:right w:val="none" w:sz="0" w:space="0" w:color="auto"/>
      </w:divBdr>
      <w:divsChild>
        <w:div w:id="2319178">
          <w:marLeft w:val="0"/>
          <w:marRight w:val="0"/>
          <w:marTop w:val="0"/>
          <w:marBottom w:val="0"/>
          <w:divBdr>
            <w:top w:val="none" w:sz="0" w:space="0" w:color="auto"/>
            <w:left w:val="none" w:sz="0" w:space="0" w:color="auto"/>
            <w:bottom w:val="none" w:sz="0" w:space="0" w:color="auto"/>
            <w:right w:val="none" w:sz="0" w:space="0" w:color="auto"/>
          </w:divBdr>
        </w:div>
        <w:div w:id="26104961">
          <w:marLeft w:val="0"/>
          <w:marRight w:val="0"/>
          <w:marTop w:val="0"/>
          <w:marBottom w:val="0"/>
          <w:divBdr>
            <w:top w:val="none" w:sz="0" w:space="0" w:color="auto"/>
            <w:left w:val="none" w:sz="0" w:space="0" w:color="auto"/>
            <w:bottom w:val="none" w:sz="0" w:space="0" w:color="auto"/>
            <w:right w:val="none" w:sz="0" w:space="0" w:color="auto"/>
          </w:divBdr>
        </w:div>
        <w:div w:id="37166070">
          <w:marLeft w:val="0"/>
          <w:marRight w:val="0"/>
          <w:marTop w:val="0"/>
          <w:marBottom w:val="0"/>
          <w:divBdr>
            <w:top w:val="none" w:sz="0" w:space="0" w:color="auto"/>
            <w:left w:val="none" w:sz="0" w:space="0" w:color="auto"/>
            <w:bottom w:val="none" w:sz="0" w:space="0" w:color="auto"/>
            <w:right w:val="none" w:sz="0" w:space="0" w:color="auto"/>
          </w:divBdr>
        </w:div>
        <w:div w:id="44720692">
          <w:marLeft w:val="0"/>
          <w:marRight w:val="0"/>
          <w:marTop w:val="0"/>
          <w:marBottom w:val="0"/>
          <w:divBdr>
            <w:top w:val="none" w:sz="0" w:space="0" w:color="auto"/>
            <w:left w:val="none" w:sz="0" w:space="0" w:color="auto"/>
            <w:bottom w:val="none" w:sz="0" w:space="0" w:color="auto"/>
            <w:right w:val="none" w:sz="0" w:space="0" w:color="auto"/>
          </w:divBdr>
        </w:div>
        <w:div w:id="93717201">
          <w:marLeft w:val="0"/>
          <w:marRight w:val="0"/>
          <w:marTop w:val="0"/>
          <w:marBottom w:val="0"/>
          <w:divBdr>
            <w:top w:val="none" w:sz="0" w:space="0" w:color="auto"/>
            <w:left w:val="none" w:sz="0" w:space="0" w:color="auto"/>
            <w:bottom w:val="none" w:sz="0" w:space="0" w:color="auto"/>
            <w:right w:val="none" w:sz="0" w:space="0" w:color="auto"/>
          </w:divBdr>
        </w:div>
        <w:div w:id="98574679">
          <w:marLeft w:val="0"/>
          <w:marRight w:val="0"/>
          <w:marTop w:val="0"/>
          <w:marBottom w:val="0"/>
          <w:divBdr>
            <w:top w:val="none" w:sz="0" w:space="0" w:color="auto"/>
            <w:left w:val="none" w:sz="0" w:space="0" w:color="auto"/>
            <w:bottom w:val="none" w:sz="0" w:space="0" w:color="auto"/>
            <w:right w:val="none" w:sz="0" w:space="0" w:color="auto"/>
          </w:divBdr>
        </w:div>
        <w:div w:id="146094408">
          <w:marLeft w:val="0"/>
          <w:marRight w:val="0"/>
          <w:marTop w:val="0"/>
          <w:marBottom w:val="0"/>
          <w:divBdr>
            <w:top w:val="none" w:sz="0" w:space="0" w:color="auto"/>
            <w:left w:val="none" w:sz="0" w:space="0" w:color="auto"/>
            <w:bottom w:val="none" w:sz="0" w:space="0" w:color="auto"/>
            <w:right w:val="none" w:sz="0" w:space="0" w:color="auto"/>
          </w:divBdr>
        </w:div>
        <w:div w:id="176582271">
          <w:marLeft w:val="0"/>
          <w:marRight w:val="0"/>
          <w:marTop w:val="0"/>
          <w:marBottom w:val="0"/>
          <w:divBdr>
            <w:top w:val="none" w:sz="0" w:space="0" w:color="auto"/>
            <w:left w:val="none" w:sz="0" w:space="0" w:color="auto"/>
            <w:bottom w:val="none" w:sz="0" w:space="0" w:color="auto"/>
            <w:right w:val="none" w:sz="0" w:space="0" w:color="auto"/>
          </w:divBdr>
        </w:div>
        <w:div w:id="189342435">
          <w:marLeft w:val="0"/>
          <w:marRight w:val="0"/>
          <w:marTop w:val="0"/>
          <w:marBottom w:val="0"/>
          <w:divBdr>
            <w:top w:val="none" w:sz="0" w:space="0" w:color="auto"/>
            <w:left w:val="none" w:sz="0" w:space="0" w:color="auto"/>
            <w:bottom w:val="none" w:sz="0" w:space="0" w:color="auto"/>
            <w:right w:val="none" w:sz="0" w:space="0" w:color="auto"/>
          </w:divBdr>
        </w:div>
        <w:div w:id="192038658">
          <w:marLeft w:val="0"/>
          <w:marRight w:val="0"/>
          <w:marTop w:val="0"/>
          <w:marBottom w:val="0"/>
          <w:divBdr>
            <w:top w:val="none" w:sz="0" w:space="0" w:color="auto"/>
            <w:left w:val="none" w:sz="0" w:space="0" w:color="auto"/>
            <w:bottom w:val="none" w:sz="0" w:space="0" w:color="auto"/>
            <w:right w:val="none" w:sz="0" w:space="0" w:color="auto"/>
          </w:divBdr>
        </w:div>
        <w:div w:id="206987265">
          <w:marLeft w:val="0"/>
          <w:marRight w:val="0"/>
          <w:marTop w:val="0"/>
          <w:marBottom w:val="0"/>
          <w:divBdr>
            <w:top w:val="none" w:sz="0" w:space="0" w:color="auto"/>
            <w:left w:val="none" w:sz="0" w:space="0" w:color="auto"/>
            <w:bottom w:val="none" w:sz="0" w:space="0" w:color="auto"/>
            <w:right w:val="none" w:sz="0" w:space="0" w:color="auto"/>
          </w:divBdr>
        </w:div>
        <w:div w:id="328800103">
          <w:marLeft w:val="0"/>
          <w:marRight w:val="0"/>
          <w:marTop w:val="0"/>
          <w:marBottom w:val="0"/>
          <w:divBdr>
            <w:top w:val="none" w:sz="0" w:space="0" w:color="auto"/>
            <w:left w:val="none" w:sz="0" w:space="0" w:color="auto"/>
            <w:bottom w:val="none" w:sz="0" w:space="0" w:color="auto"/>
            <w:right w:val="none" w:sz="0" w:space="0" w:color="auto"/>
          </w:divBdr>
        </w:div>
        <w:div w:id="333147774">
          <w:marLeft w:val="0"/>
          <w:marRight w:val="0"/>
          <w:marTop w:val="0"/>
          <w:marBottom w:val="0"/>
          <w:divBdr>
            <w:top w:val="none" w:sz="0" w:space="0" w:color="auto"/>
            <w:left w:val="none" w:sz="0" w:space="0" w:color="auto"/>
            <w:bottom w:val="none" w:sz="0" w:space="0" w:color="auto"/>
            <w:right w:val="none" w:sz="0" w:space="0" w:color="auto"/>
          </w:divBdr>
        </w:div>
        <w:div w:id="346061355">
          <w:marLeft w:val="0"/>
          <w:marRight w:val="0"/>
          <w:marTop w:val="0"/>
          <w:marBottom w:val="0"/>
          <w:divBdr>
            <w:top w:val="none" w:sz="0" w:space="0" w:color="auto"/>
            <w:left w:val="none" w:sz="0" w:space="0" w:color="auto"/>
            <w:bottom w:val="none" w:sz="0" w:space="0" w:color="auto"/>
            <w:right w:val="none" w:sz="0" w:space="0" w:color="auto"/>
          </w:divBdr>
        </w:div>
        <w:div w:id="352389982">
          <w:marLeft w:val="0"/>
          <w:marRight w:val="0"/>
          <w:marTop w:val="0"/>
          <w:marBottom w:val="0"/>
          <w:divBdr>
            <w:top w:val="none" w:sz="0" w:space="0" w:color="auto"/>
            <w:left w:val="none" w:sz="0" w:space="0" w:color="auto"/>
            <w:bottom w:val="none" w:sz="0" w:space="0" w:color="auto"/>
            <w:right w:val="none" w:sz="0" w:space="0" w:color="auto"/>
          </w:divBdr>
        </w:div>
        <w:div w:id="396972567">
          <w:marLeft w:val="0"/>
          <w:marRight w:val="0"/>
          <w:marTop w:val="0"/>
          <w:marBottom w:val="0"/>
          <w:divBdr>
            <w:top w:val="none" w:sz="0" w:space="0" w:color="auto"/>
            <w:left w:val="none" w:sz="0" w:space="0" w:color="auto"/>
            <w:bottom w:val="none" w:sz="0" w:space="0" w:color="auto"/>
            <w:right w:val="none" w:sz="0" w:space="0" w:color="auto"/>
          </w:divBdr>
        </w:div>
        <w:div w:id="398089875">
          <w:marLeft w:val="0"/>
          <w:marRight w:val="0"/>
          <w:marTop w:val="0"/>
          <w:marBottom w:val="0"/>
          <w:divBdr>
            <w:top w:val="none" w:sz="0" w:space="0" w:color="auto"/>
            <w:left w:val="none" w:sz="0" w:space="0" w:color="auto"/>
            <w:bottom w:val="none" w:sz="0" w:space="0" w:color="auto"/>
            <w:right w:val="none" w:sz="0" w:space="0" w:color="auto"/>
          </w:divBdr>
        </w:div>
        <w:div w:id="398674038">
          <w:marLeft w:val="0"/>
          <w:marRight w:val="0"/>
          <w:marTop w:val="0"/>
          <w:marBottom w:val="0"/>
          <w:divBdr>
            <w:top w:val="none" w:sz="0" w:space="0" w:color="auto"/>
            <w:left w:val="none" w:sz="0" w:space="0" w:color="auto"/>
            <w:bottom w:val="none" w:sz="0" w:space="0" w:color="auto"/>
            <w:right w:val="none" w:sz="0" w:space="0" w:color="auto"/>
          </w:divBdr>
        </w:div>
        <w:div w:id="440345326">
          <w:marLeft w:val="0"/>
          <w:marRight w:val="0"/>
          <w:marTop w:val="0"/>
          <w:marBottom w:val="0"/>
          <w:divBdr>
            <w:top w:val="none" w:sz="0" w:space="0" w:color="auto"/>
            <w:left w:val="none" w:sz="0" w:space="0" w:color="auto"/>
            <w:bottom w:val="none" w:sz="0" w:space="0" w:color="auto"/>
            <w:right w:val="none" w:sz="0" w:space="0" w:color="auto"/>
          </w:divBdr>
        </w:div>
        <w:div w:id="443892111">
          <w:marLeft w:val="0"/>
          <w:marRight w:val="0"/>
          <w:marTop w:val="0"/>
          <w:marBottom w:val="0"/>
          <w:divBdr>
            <w:top w:val="none" w:sz="0" w:space="0" w:color="auto"/>
            <w:left w:val="none" w:sz="0" w:space="0" w:color="auto"/>
            <w:bottom w:val="none" w:sz="0" w:space="0" w:color="auto"/>
            <w:right w:val="none" w:sz="0" w:space="0" w:color="auto"/>
          </w:divBdr>
        </w:div>
        <w:div w:id="448401286">
          <w:marLeft w:val="0"/>
          <w:marRight w:val="0"/>
          <w:marTop w:val="0"/>
          <w:marBottom w:val="0"/>
          <w:divBdr>
            <w:top w:val="none" w:sz="0" w:space="0" w:color="auto"/>
            <w:left w:val="none" w:sz="0" w:space="0" w:color="auto"/>
            <w:bottom w:val="none" w:sz="0" w:space="0" w:color="auto"/>
            <w:right w:val="none" w:sz="0" w:space="0" w:color="auto"/>
          </w:divBdr>
        </w:div>
        <w:div w:id="473526731">
          <w:marLeft w:val="0"/>
          <w:marRight w:val="0"/>
          <w:marTop w:val="0"/>
          <w:marBottom w:val="0"/>
          <w:divBdr>
            <w:top w:val="none" w:sz="0" w:space="0" w:color="auto"/>
            <w:left w:val="none" w:sz="0" w:space="0" w:color="auto"/>
            <w:bottom w:val="none" w:sz="0" w:space="0" w:color="auto"/>
            <w:right w:val="none" w:sz="0" w:space="0" w:color="auto"/>
          </w:divBdr>
        </w:div>
        <w:div w:id="511183637">
          <w:marLeft w:val="0"/>
          <w:marRight w:val="0"/>
          <w:marTop w:val="0"/>
          <w:marBottom w:val="0"/>
          <w:divBdr>
            <w:top w:val="none" w:sz="0" w:space="0" w:color="auto"/>
            <w:left w:val="none" w:sz="0" w:space="0" w:color="auto"/>
            <w:bottom w:val="none" w:sz="0" w:space="0" w:color="auto"/>
            <w:right w:val="none" w:sz="0" w:space="0" w:color="auto"/>
          </w:divBdr>
        </w:div>
        <w:div w:id="547424147">
          <w:marLeft w:val="0"/>
          <w:marRight w:val="0"/>
          <w:marTop w:val="0"/>
          <w:marBottom w:val="0"/>
          <w:divBdr>
            <w:top w:val="none" w:sz="0" w:space="0" w:color="auto"/>
            <w:left w:val="none" w:sz="0" w:space="0" w:color="auto"/>
            <w:bottom w:val="none" w:sz="0" w:space="0" w:color="auto"/>
            <w:right w:val="none" w:sz="0" w:space="0" w:color="auto"/>
          </w:divBdr>
        </w:div>
        <w:div w:id="581380238">
          <w:marLeft w:val="0"/>
          <w:marRight w:val="0"/>
          <w:marTop w:val="0"/>
          <w:marBottom w:val="0"/>
          <w:divBdr>
            <w:top w:val="none" w:sz="0" w:space="0" w:color="auto"/>
            <w:left w:val="none" w:sz="0" w:space="0" w:color="auto"/>
            <w:bottom w:val="none" w:sz="0" w:space="0" w:color="auto"/>
            <w:right w:val="none" w:sz="0" w:space="0" w:color="auto"/>
          </w:divBdr>
        </w:div>
        <w:div w:id="597250518">
          <w:marLeft w:val="0"/>
          <w:marRight w:val="0"/>
          <w:marTop w:val="0"/>
          <w:marBottom w:val="0"/>
          <w:divBdr>
            <w:top w:val="none" w:sz="0" w:space="0" w:color="auto"/>
            <w:left w:val="none" w:sz="0" w:space="0" w:color="auto"/>
            <w:bottom w:val="none" w:sz="0" w:space="0" w:color="auto"/>
            <w:right w:val="none" w:sz="0" w:space="0" w:color="auto"/>
          </w:divBdr>
        </w:div>
        <w:div w:id="602685492">
          <w:marLeft w:val="0"/>
          <w:marRight w:val="0"/>
          <w:marTop w:val="0"/>
          <w:marBottom w:val="0"/>
          <w:divBdr>
            <w:top w:val="none" w:sz="0" w:space="0" w:color="auto"/>
            <w:left w:val="none" w:sz="0" w:space="0" w:color="auto"/>
            <w:bottom w:val="none" w:sz="0" w:space="0" w:color="auto"/>
            <w:right w:val="none" w:sz="0" w:space="0" w:color="auto"/>
          </w:divBdr>
        </w:div>
        <w:div w:id="618029505">
          <w:marLeft w:val="0"/>
          <w:marRight w:val="0"/>
          <w:marTop w:val="0"/>
          <w:marBottom w:val="0"/>
          <w:divBdr>
            <w:top w:val="none" w:sz="0" w:space="0" w:color="auto"/>
            <w:left w:val="none" w:sz="0" w:space="0" w:color="auto"/>
            <w:bottom w:val="none" w:sz="0" w:space="0" w:color="auto"/>
            <w:right w:val="none" w:sz="0" w:space="0" w:color="auto"/>
          </w:divBdr>
        </w:div>
        <w:div w:id="657458627">
          <w:marLeft w:val="0"/>
          <w:marRight w:val="0"/>
          <w:marTop w:val="0"/>
          <w:marBottom w:val="0"/>
          <w:divBdr>
            <w:top w:val="none" w:sz="0" w:space="0" w:color="auto"/>
            <w:left w:val="none" w:sz="0" w:space="0" w:color="auto"/>
            <w:bottom w:val="none" w:sz="0" w:space="0" w:color="auto"/>
            <w:right w:val="none" w:sz="0" w:space="0" w:color="auto"/>
          </w:divBdr>
        </w:div>
        <w:div w:id="695547624">
          <w:marLeft w:val="0"/>
          <w:marRight w:val="0"/>
          <w:marTop w:val="0"/>
          <w:marBottom w:val="0"/>
          <w:divBdr>
            <w:top w:val="none" w:sz="0" w:space="0" w:color="auto"/>
            <w:left w:val="none" w:sz="0" w:space="0" w:color="auto"/>
            <w:bottom w:val="none" w:sz="0" w:space="0" w:color="auto"/>
            <w:right w:val="none" w:sz="0" w:space="0" w:color="auto"/>
          </w:divBdr>
        </w:div>
        <w:div w:id="744300981">
          <w:marLeft w:val="0"/>
          <w:marRight w:val="0"/>
          <w:marTop w:val="0"/>
          <w:marBottom w:val="0"/>
          <w:divBdr>
            <w:top w:val="none" w:sz="0" w:space="0" w:color="auto"/>
            <w:left w:val="none" w:sz="0" w:space="0" w:color="auto"/>
            <w:bottom w:val="none" w:sz="0" w:space="0" w:color="auto"/>
            <w:right w:val="none" w:sz="0" w:space="0" w:color="auto"/>
          </w:divBdr>
        </w:div>
        <w:div w:id="762149571">
          <w:marLeft w:val="0"/>
          <w:marRight w:val="0"/>
          <w:marTop w:val="0"/>
          <w:marBottom w:val="0"/>
          <w:divBdr>
            <w:top w:val="none" w:sz="0" w:space="0" w:color="auto"/>
            <w:left w:val="none" w:sz="0" w:space="0" w:color="auto"/>
            <w:bottom w:val="none" w:sz="0" w:space="0" w:color="auto"/>
            <w:right w:val="none" w:sz="0" w:space="0" w:color="auto"/>
          </w:divBdr>
        </w:div>
        <w:div w:id="783234779">
          <w:marLeft w:val="0"/>
          <w:marRight w:val="0"/>
          <w:marTop w:val="0"/>
          <w:marBottom w:val="0"/>
          <w:divBdr>
            <w:top w:val="none" w:sz="0" w:space="0" w:color="auto"/>
            <w:left w:val="none" w:sz="0" w:space="0" w:color="auto"/>
            <w:bottom w:val="none" w:sz="0" w:space="0" w:color="auto"/>
            <w:right w:val="none" w:sz="0" w:space="0" w:color="auto"/>
          </w:divBdr>
        </w:div>
        <w:div w:id="784035650">
          <w:marLeft w:val="0"/>
          <w:marRight w:val="0"/>
          <w:marTop w:val="0"/>
          <w:marBottom w:val="0"/>
          <w:divBdr>
            <w:top w:val="none" w:sz="0" w:space="0" w:color="auto"/>
            <w:left w:val="none" w:sz="0" w:space="0" w:color="auto"/>
            <w:bottom w:val="none" w:sz="0" w:space="0" w:color="auto"/>
            <w:right w:val="none" w:sz="0" w:space="0" w:color="auto"/>
          </w:divBdr>
        </w:div>
        <w:div w:id="801966701">
          <w:marLeft w:val="0"/>
          <w:marRight w:val="0"/>
          <w:marTop w:val="0"/>
          <w:marBottom w:val="0"/>
          <w:divBdr>
            <w:top w:val="none" w:sz="0" w:space="0" w:color="auto"/>
            <w:left w:val="none" w:sz="0" w:space="0" w:color="auto"/>
            <w:bottom w:val="none" w:sz="0" w:space="0" w:color="auto"/>
            <w:right w:val="none" w:sz="0" w:space="0" w:color="auto"/>
          </w:divBdr>
        </w:div>
        <w:div w:id="814301571">
          <w:marLeft w:val="0"/>
          <w:marRight w:val="0"/>
          <w:marTop w:val="0"/>
          <w:marBottom w:val="0"/>
          <w:divBdr>
            <w:top w:val="none" w:sz="0" w:space="0" w:color="auto"/>
            <w:left w:val="none" w:sz="0" w:space="0" w:color="auto"/>
            <w:bottom w:val="none" w:sz="0" w:space="0" w:color="auto"/>
            <w:right w:val="none" w:sz="0" w:space="0" w:color="auto"/>
          </w:divBdr>
        </w:div>
        <w:div w:id="923760242">
          <w:marLeft w:val="0"/>
          <w:marRight w:val="0"/>
          <w:marTop w:val="0"/>
          <w:marBottom w:val="0"/>
          <w:divBdr>
            <w:top w:val="none" w:sz="0" w:space="0" w:color="auto"/>
            <w:left w:val="none" w:sz="0" w:space="0" w:color="auto"/>
            <w:bottom w:val="none" w:sz="0" w:space="0" w:color="auto"/>
            <w:right w:val="none" w:sz="0" w:space="0" w:color="auto"/>
          </w:divBdr>
        </w:div>
        <w:div w:id="952437263">
          <w:marLeft w:val="0"/>
          <w:marRight w:val="0"/>
          <w:marTop w:val="0"/>
          <w:marBottom w:val="0"/>
          <w:divBdr>
            <w:top w:val="none" w:sz="0" w:space="0" w:color="auto"/>
            <w:left w:val="none" w:sz="0" w:space="0" w:color="auto"/>
            <w:bottom w:val="none" w:sz="0" w:space="0" w:color="auto"/>
            <w:right w:val="none" w:sz="0" w:space="0" w:color="auto"/>
          </w:divBdr>
        </w:div>
        <w:div w:id="963928301">
          <w:marLeft w:val="0"/>
          <w:marRight w:val="0"/>
          <w:marTop w:val="0"/>
          <w:marBottom w:val="0"/>
          <w:divBdr>
            <w:top w:val="none" w:sz="0" w:space="0" w:color="auto"/>
            <w:left w:val="none" w:sz="0" w:space="0" w:color="auto"/>
            <w:bottom w:val="none" w:sz="0" w:space="0" w:color="auto"/>
            <w:right w:val="none" w:sz="0" w:space="0" w:color="auto"/>
          </w:divBdr>
        </w:div>
        <w:div w:id="1038974867">
          <w:marLeft w:val="0"/>
          <w:marRight w:val="0"/>
          <w:marTop w:val="0"/>
          <w:marBottom w:val="0"/>
          <w:divBdr>
            <w:top w:val="none" w:sz="0" w:space="0" w:color="auto"/>
            <w:left w:val="none" w:sz="0" w:space="0" w:color="auto"/>
            <w:bottom w:val="none" w:sz="0" w:space="0" w:color="auto"/>
            <w:right w:val="none" w:sz="0" w:space="0" w:color="auto"/>
          </w:divBdr>
        </w:div>
        <w:div w:id="1068963347">
          <w:marLeft w:val="0"/>
          <w:marRight w:val="0"/>
          <w:marTop w:val="0"/>
          <w:marBottom w:val="0"/>
          <w:divBdr>
            <w:top w:val="none" w:sz="0" w:space="0" w:color="auto"/>
            <w:left w:val="none" w:sz="0" w:space="0" w:color="auto"/>
            <w:bottom w:val="none" w:sz="0" w:space="0" w:color="auto"/>
            <w:right w:val="none" w:sz="0" w:space="0" w:color="auto"/>
          </w:divBdr>
        </w:div>
        <w:div w:id="1096445615">
          <w:marLeft w:val="0"/>
          <w:marRight w:val="0"/>
          <w:marTop w:val="0"/>
          <w:marBottom w:val="0"/>
          <w:divBdr>
            <w:top w:val="none" w:sz="0" w:space="0" w:color="auto"/>
            <w:left w:val="none" w:sz="0" w:space="0" w:color="auto"/>
            <w:bottom w:val="none" w:sz="0" w:space="0" w:color="auto"/>
            <w:right w:val="none" w:sz="0" w:space="0" w:color="auto"/>
          </w:divBdr>
        </w:div>
        <w:div w:id="1146513013">
          <w:marLeft w:val="0"/>
          <w:marRight w:val="0"/>
          <w:marTop w:val="0"/>
          <w:marBottom w:val="0"/>
          <w:divBdr>
            <w:top w:val="none" w:sz="0" w:space="0" w:color="auto"/>
            <w:left w:val="none" w:sz="0" w:space="0" w:color="auto"/>
            <w:bottom w:val="none" w:sz="0" w:space="0" w:color="auto"/>
            <w:right w:val="none" w:sz="0" w:space="0" w:color="auto"/>
          </w:divBdr>
        </w:div>
        <w:div w:id="1231041316">
          <w:marLeft w:val="0"/>
          <w:marRight w:val="0"/>
          <w:marTop w:val="0"/>
          <w:marBottom w:val="0"/>
          <w:divBdr>
            <w:top w:val="none" w:sz="0" w:space="0" w:color="auto"/>
            <w:left w:val="none" w:sz="0" w:space="0" w:color="auto"/>
            <w:bottom w:val="none" w:sz="0" w:space="0" w:color="auto"/>
            <w:right w:val="none" w:sz="0" w:space="0" w:color="auto"/>
          </w:divBdr>
        </w:div>
        <w:div w:id="1245845149">
          <w:marLeft w:val="0"/>
          <w:marRight w:val="0"/>
          <w:marTop w:val="0"/>
          <w:marBottom w:val="0"/>
          <w:divBdr>
            <w:top w:val="none" w:sz="0" w:space="0" w:color="auto"/>
            <w:left w:val="none" w:sz="0" w:space="0" w:color="auto"/>
            <w:bottom w:val="none" w:sz="0" w:space="0" w:color="auto"/>
            <w:right w:val="none" w:sz="0" w:space="0" w:color="auto"/>
          </w:divBdr>
        </w:div>
        <w:div w:id="1266884240">
          <w:marLeft w:val="0"/>
          <w:marRight w:val="0"/>
          <w:marTop w:val="0"/>
          <w:marBottom w:val="0"/>
          <w:divBdr>
            <w:top w:val="none" w:sz="0" w:space="0" w:color="auto"/>
            <w:left w:val="none" w:sz="0" w:space="0" w:color="auto"/>
            <w:bottom w:val="none" w:sz="0" w:space="0" w:color="auto"/>
            <w:right w:val="none" w:sz="0" w:space="0" w:color="auto"/>
          </w:divBdr>
        </w:div>
        <w:div w:id="1298489143">
          <w:marLeft w:val="0"/>
          <w:marRight w:val="0"/>
          <w:marTop w:val="0"/>
          <w:marBottom w:val="0"/>
          <w:divBdr>
            <w:top w:val="none" w:sz="0" w:space="0" w:color="auto"/>
            <w:left w:val="none" w:sz="0" w:space="0" w:color="auto"/>
            <w:bottom w:val="none" w:sz="0" w:space="0" w:color="auto"/>
            <w:right w:val="none" w:sz="0" w:space="0" w:color="auto"/>
          </w:divBdr>
        </w:div>
        <w:div w:id="1365402120">
          <w:marLeft w:val="0"/>
          <w:marRight w:val="0"/>
          <w:marTop w:val="0"/>
          <w:marBottom w:val="0"/>
          <w:divBdr>
            <w:top w:val="none" w:sz="0" w:space="0" w:color="auto"/>
            <w:left w:val="none" w:sz="0" w:space="0" w:color="auto"/>
            <w:bottom w:val="none" w:sz="0" w:space="0" w:color="auto"/>
            <w:right w:val="none" w:sz="0" w:space="0" w:color="auto"/>
          </w:divBdr>
        </w:div>
        <w:div w:id="1468622001">
          <w:marLeft w:val="0"/>
          <w:marRight w:val="0"/>
          <w:marTop w:val="0"/>
          <w:marBottom w:val="0"/>
          <w:divBdr>
            <w:top w:val="none" w:sz="0" w:space="0" w:color="auto"/>
            <w:left w:val="none" w:sz="0" w:space="0" w:color="auto"/>
            <w:bottom w:val="none" w:sz="0" w:space="0" w:color="auto"/>
            <w:right w:val="none" w:sz="0" w:space="0" w:color="auto"/>
          </w:divBdr>
        </w:div>
        <w:div w:id="1512524826">
          <w:marLeft w:val="0"/>
          <w:marRight w:val="0"/>
          <w:marTop w:val="0"/>
          <w:marBottom w:val="0"/>
          <w:divBdr>
            <w:top w:val="none" w:sz="0" w:space="0" w:color="auto"/>
            <w:left w:val="none" w:sz="0" w:space="0" w:color="auto"/>
            <w:bottom w:val="none" w:sz="0" w:space="0" w:color="auto"/>
            <w:right w:val="none" w:sz="0" w:space="0" w:color="auto"/>
          </w:divBdr>
        </w:div>
        <w:div w:id="1536237252">
          <w:marLeft w:val="0"/>
          <w:marRight w:val="0"/>
          <w:marTop w:val="0"/>
          <w:marBottom w:val="0"/>
          <w:divBdr>
            <w:top w:val="none" w:sz="0" w:space="0" w:color="auto"/>
            <w:left w:val="none" w:sz="0" w:space="0" w:color="auto"/>
            <w:bottom w:val="none" w:sz="0" w:space="0" w:color="auto"/>
            <w:right w:val="none" w:sz="0" w:space="0" w:color="auto"/>
          </w:divBdr>
        </w:div>
        <w:div w:id="1538081495">
          <w:marLeft w:val="0"/>
          <w:marRight w:val="0"/>
          <w:marTop w:val="0"/>
          <w:marBottom w:val="0"/>
          <w:divBdr>
            <w:top w:val="none" w:sz="0" w:space="0" w:color="auto"/>
            <w:left w:val="none" w:sz="0" w:space="0" w:color="auto"/>
            <w:bottom w:val="none" w:sz="0" w:space="0" w:color="auto"/>
            <w:right w:val="none" w:sz="0" w:space="0" w:color="auto"/>
          </w:divBdr>
        </w:div>
        <w:div w:id="1566796444">
          <w:marLeft w:val="0"/>
          <w:marRight w:val="0"/>
          <w:marTop w:val="0"/>
          <w:marBottom w:val="0"/>
          <w:divBdr>
            <w:top w:val="none" w:sz="0" w:space="0" w:color="auto"/>
            <w:left w:val="none" w:sz="0" w:space="0" w:color="auto"/>
            <w:bottom w:val="none" w:sz="0" w:space="0" w:color="auto"/>
            <w:right w:val="none" w:sz="0" w:space="0" w:color="auto"/>
          </w:divBdr>
        </w:div>
        <w:div w:id="1582367830">
          <w:marLeft w:val="0"/>
          <w:marRight w:val="0"/>
          <w:marTop w:val="0"/>
          <w:marBottom w:val="0"/>
          <w:divBdr>
            <w:top w:val="none" w:sz="0" w:space="0" w:color="auto"/>
            <w:left w:val="none" w:sz="0" w:space="0" w:color="auto"/>
            <w:bottom w:val="none" w:sz="0" w:space="0" w:color="auto"/>
            <w:right w:val="none" w:sz="0" w:space="0" w:color="auto"/>
          </w:divBdr>
        </w:div>
        <w:div w:id="1589078550">
          <w:marLeft w:val="0"/>
          <w:marRight w:val="0"/>
          <w:marTop w:val="0"/>
          <w:marBottom w:val="0"/>
          <w:divBdr>
            <w:top w:val="none" w:sz="0" w:space="0" w:color="auto"/>
            <w:left w:val="none" w:sz="0" w:space="0" w:color="auto"/>
            <w:bottom w:val="none" w:sz="0" w:space="0" w:color="auto"/>
            <w:right w:val="none" w:sz="0" w:space="0" w:color="auto"/>
          </w:divBdr>
        </w:div>
        <w:div w:id="1621261526">
          <w:marLeft w:val="0"/>
          <w:marRight w:val="0"/>
          <w:marTop w:val="0"/>
          <w:marBottom w:val="0"/>
          <w:divBdr>
            <w:top w:val="none" w:sz="0" w:space="0" w:color="auto"/>
            <w:left w:val="none" w:sz="0" w:space="0" w:color="auto"/>
            <w:bottom w:val="none" w:sz="0" w:space="0" w:color="auto"/>
            <w:right w:val="none" w:sz="0" w:space="0" w:color="auto"/>
          </w:divBdr>
        </w:div>
        <w:div w:id="1624071543">
          <w:marLeft w:val="0"/>
          <w:marRight w:val="0"/>
          <w:marTop w:val="0"/>
          <w:marBottom w:val="0"/>
          <w:divBdr>
            <w:top w:val="none" w:sz="0" w:space="0" w:color="auto"/>
            <w:left w:val="none" w:sz="0" w:space="0" w:color="auto"/>
            <w:bottom w:val="none" w:sz="0" w:space="0" w:color="auto"/>
            <w:right w:val="none" w:sz="0" w:space="0" w:color="auto"/>
          </w:divBdr>
        </w:div>
        <w:div w:id="1652246216">
          <w:marLeft w:val="0"/>
          <w:marRight w:val="0"/>
          <w:marTop w:val="0"/>
          <w:marBottom w:val="0"/>
          <w:divBdr>
            <w:top w:val="none" w:sz="0" w:space="0" w:color="auto"/>
            <w:left w:val="none" w:sz="0" w:space="0" w:color="auto"/>
            <w:bottom w:val="none" w:sz="0" w:space="0" w:color="auto"/>
            <w:right w:val="none" w:sz="0" w:space="0" w:color="auto"/>
          </w:divBdr>
        </w:div>
        <w:div w:id="1652558650">
          <w:marLeft w:val="0"/>
          <w:marRight w:val="0"/>
          <w:marTop w:val="0"/>
          <w:marBottom w:val="0"/>
          <w:divBdr>
            <w:top w:val="none" w:sz="0" w:space="0" w:color="auto"/>
            <w:left w:val="none" w:sz="0" w:space="0" w:color="auto"/>
            <w:bottom w:val="none" w:sz="0" w:space="0" w:color="auto"/>
            <w:right w:val="none" w:sz="0" w:space="0" w:color="auto"/>
          </w:divBdr>
        </w:div>
        <w:div w:id="1685814716">
          <w:marLeft w:val="0"/>
          <w:marRight w:val="0"/>
          <w:marTop w:val="0"/>
          <w:marBottom w:val="0"/>
          <w:divBdr>
            <w:top w:val="none" w:sz="0" w:space="0" w:color="auto"/>
            <w:left w:val="none" w:sz="0" w:space="0" w:color="auto"/>
            <w:bottom w:val="none" w:sz="0" w:space="0" w:color="auto"/>
            <w:right w:val="none" w:sz="0" w:space="0" w:color="auto"/>
          </w:divBdr>
        </w:div>
        <w:div w:id="1742219313">
          <w:marLeft w:val="0"/>
          <w:marRight w:val="0"/>
          <w:marTop w:val="0"/>
          <w:marBottom w:val="0"/>
          <w:divBdr>
            <w:top w:val="none" w:sz="0" w:space="0" w:color="auto"/>
            <w:left w:val="none" w:sz="0" w:space="0" w:color="auto"/>
            <w:bottom w:val="none" w:sz="0" w:space="0" w:color="auto"/>
            <w:right w:val="none" w:sz="0" w:space="0" w:color="auto"/>
          </w:divBdr>
        </w:div>
        <w:div w:id="1796101947">
          <w:marLeft w:val="0"/>
          <w:marRight w:val="0"/>
          <w:marTop w:val="0"/>
          <w:marBottom w:val="0"/>
          <w:divBdr>
            <w:top w:val="none" w:sz="0" w:space="0" w:color="auto"/>
            <w:left w:val="none" w:sz="0" w:space="0" w:color="auto"/>
            <w:bottom w:val="none" w:sz="0" w:space="0" w:color="auto"/>
            <w:right w:val="none" w:sz="0" w:space="0" w:color="auto"/>
          </w:divBdr>
        </w:div>
        <w:div w:id="1810396030">
          <w:marLeft w:val="0"/>
          <w:marRight w:val="0"/>
          <w:marTop w:val="0"/>
          <w:marBottom w:val="0"/>
          <w:divBdr>
            <w:top w:val="none" w:sz="0" w:space="0" w:color="auto"/>
            <w:left w:val="none" w:sz="0" w:space="0" w:color="auto"/>
            <w:bottom w:val="none" w:sz="0" w:space="0" w:color="auto"/>
            <w:right w:val="none" w:sz="0" w:space="0" w:color="auto"/>
          </w:divBdr>
        </w:div>
        <w:div w:id="1816726470">
          <w:marLeft w:val="0"/>
          <w:marRight w:val="0"/>
          <w:marTop w:val="0"/>
          <w:marBottom w:val="0"/>
          <w:divBdr>
            <w:top w:val="none" w:sz="0" w:space="0" w:color="auto"/>
            <w:left w:val="none" w:sz="0" w:space="0" w:color="auto"/>
            <w:bottom w:val="none" w:sz="0" w:space="0" w:color="auto"/>
            <w:right w:val="none" w:sz="0" w:space="0" w:color="auto"/>
          </w:divBdr>
        </w:div>
        <w:div w:id="1846362776">
          <w:marLeft w:val="0"/>
          <w:marRight w:val="0"/>
          <w:marTop w:val="0"/>
          <w:marBottom w:val="0"/>
          <w:divBdr>
            <w:top w:val="none" w:sz="0" w:space="0" w:color="auto"/>
            <w:left w:val="none" w:sz="0" w:space="0" w:color="auto"/>
            <w:bottom w:val="none" w:sz="0" w:space="0" w:color="auto"/>
            <w:right w:val="none" w:sz="0" w:space="0" w:color="auto"/>
          </w:divBdr>
        </w:div>
        <w:div w:id="1847819732">
          <w:marLeft w:val="0"/>
          <w:marRight w:val="0"/>
          <w:marTop w:val="0"/>
          <w:marBottom w:val="0"/>
          <w:divBdr>
            <w:top w:val="none" w:sz="0" w:space="0" w:color="auto"/>
            <w:left w:val="none" w:sz="0" w:space="0" w:color="auto"/>
            <w:bottom w:val="none" w:sz="0" w:space="0" w:color="auto"/>
            <w:right w:val="none" w:sz="0" w:space="0" w:color="auto"/>
          </w:divBdr>
        </w:div>
        <w:div w:id="1932741984">
          <w:marLeft w:val="0"/>
          <w:marRight w:val="0"/>
          <w:marTop w:val="0"/>
          <w:marBottom w:val="0"/>
          <w:divBdr>
            <w:top w:val="none" w:sz="0" w:space="0" w:color="auto"/>
            <w:left w:val="none" w:sz="0" w:space="0" w:color="auto"/>
            <w:bottom w:val="none" w:sz="0" w:space="0" w:color="auto"/>
            <w:right w:val="none" w:sz="0" w:space="0" w:color="auto"/>
          </w:divBdr>
        </w:div>
        <w:div w:id="1945766208">
          <w:marLeft w:val="0"/>
          <w:marRight w:val="0"/>
          <w:marTop w:val="0"/>
          <w:marBottom w:val="0"/>
          <w:divBdr>
            <w:top w:val="none" w:sz="0" w:space="0" w:color="auto"/>
            <w:left w:val="none" w:sz="0" w:space="0" w:color="auto"/>
            <w:bottom w:val="none" w:sz="0" w:space="0" w:color="auto"/>
            <w:right w:val="none" w:sz="0" w:space="0" w:color="auto"/>
          </w:divBdr>
        </w:div>
        <w:div w:id="1967003699">
          <w:marLeft w:val="0"/>
          <w:marRight w:val="0"/>
          <w:marTop w:val="0"/>
          <w:marBottom w:val="0"/>
          <w:divBdr>
            <w:top w:val="none" w:sz="0" w:space="0" w:color="auto"/>
            <w:left w:val="none" w:sz="0" w:space="0" w:color="auto"/>
            <w:bottom w:val="none" w:sz="0" w:space="0" w:color="auto"/>
            <w:right w:val="none" w:sz="0" w:space="0" w:color="auto"/>
          </w:divBdr>
        </w:div>
        <w:div w:id="2000767861">
          <w:marLeft w:val="0"/>
          <w:marRight w:val="0"/>
          <w:marTop w:val="0"/>
          <w:marBottom w:val="0"/>
          <w:divBdr>
            <w:top w:val="none" w:sz="0" w:space="0" w:color="auto"/>
            <w:left w:val="none" w:sz="0" w:space="0" w:color="auto"/>
            <w:bottom w:val="none" w:sz="0" w:space="0" w:color="auto"/>
            <w:right w:val="none" w:sz="0" w:space="0" w:color="auto"/>
          </w:divBdr>
        </w:div>
        <w:div w:id="2034065388">
          <w:marLeft w:val="0"/>
          <w:marRight w:val="0"/>
          <w:marTop w:val="0"/>
          <w:marBottom w:val="0"/>
          <w:divBdr>
            <w:top w:val="none" w:sz="0" w:space="0" w:color="auto"/>
            <w:left w:val="none" w:sz="0" w:space="0" w:color="auto"/>
            <w:bottom w:val="none" w:sz="0" w:space="0" w:color="auto"/>
            <w:right w:val="none" w:sz="0" w:space="0" w:color="auto"/>
          </w:divBdr>
        </w:div>
        <w:div w:id="2034576965">
          <w:marLeft w:val="0"/>
          <w:marRight w:val="0"/>
          <w:marTop w:val="0"/>
          <w:marBottom w:val="0"/>
          <w:divBdr>
            <w:top w:val="none" w:sz="0" w:space="0" w:color="auto"/>
            <w:left w:val="none" w:sz="0" w:space="0" w:color="auto"/>
            <w:bottom w:val="none" w:sz="0" w:space="0" w:color="auto"/>
            <w:right w:val="none" w:sz="0" w:space="0" w:color="auto"/>
          </w:divBdr>
        </w:div>
      </w:divsChild>
    </w:div>
    <w:div w:id="1836073327">
      <w:bodyDiv w:val="1"/>
      <w:marLeft w:val="0"/>
      <w:marRight w:val="0"/>
      <w:marTop w:val="0"/>
      <w:marBottom w:val="0"/>
      <w:divBdr>
        <w:top w:val="none" w:sz="0" w:space="0" w:color="auto"/>
        <w:left w:val="none" w:sz="0" w:space="0" w:color="auto"/>
        <w:bottom w:val="none" w:sz="0" w:space="0" w:color="auto"/>
        <w:right w:val="none" w:sz="0" w:space="0" w:color="auto"/>
      </w:divBdr>
      <w:divsChild>
        <w:div w:id="151289020">
          <w:marLeft w:val="0"/>
          <w:marRight w:val="0"/>
          <w:marTop w:val="0"/>
          <w:marBottom w:val="0"/>
          <w:divBdr>
            <w:top w:val="none" w:sz="0" w:space="0" w:color="auto"/>
            <w:left w:val="none" w:sz="0" w:space="0" w:color="auto"/>
            <w:bottom w:val="none" w:sz="0" w:space="0" w:color="auto"/>
            <w:right w:val="none" w:sz="0" w:space="0" w:color="auto"/>
          </w:divBdr>
        </w:div>
        <w:div w:id="175076380">
          <w:marLeft w:val="0"/>
          <w:marRight w:val="0"/>
          <w:marTop w:val="0"/>
          <w:marBottom w:val="0"/>
          <w:divBdr>
            <w:top w:val="none" w:sz="0" w:space="0" w:color="auto"/>
            <w:left w:val="none" w:sz="0" w:space="0" w:color="auto"/>
            <w:bottom w:val="none" w:sz="0" w:space="0" w:color="auto"/>
            <w:right w:val="none" w:sz="0" w:space="0" w:color="auto"/>
          </w:divBdr>
        </w:div>
        <w:div w:id="714697438">
          <w:marLeft w:val="0"/>
          <w:marRight w:val="0"/>
          <w:marTop w:val="0"/>
          <w:marBottom w:val="0"/>
          <w:divBdr>
            <w:top w:val="none" w:sz="0" w:space="0" w:color="auto"/>
            <w:left w:val="none" w:sz="0" w:space="0" w:color="auto"/>
            <w:bottom w:val="none" w:sz="0" w:space="0" w:color="auto"/>
            <w:right w:val="none" w:sz="0" w:space="0" w:color="auto"/>
          </w:divBdr>
        </w:div>
        <w:div w:id="921061681">
          <w:marLeft w:val="0"/>
          <w:marRight w:val="0"/>
          <w:marTop w:val="0"/>
          <w:marBottom w:val="0"/>
          <w:divBdr>
            <w:top w:val="none" w:sz="0" w:space="0" w:color="auto"/>
            <w:left w:val="none" w:sz="0" w:space="0" w:color="auto"/>
            <w:bottom w:val="none" w:sz="0" w:space="0" w:color="auto"/>
            <w:right w:val="none" w:sz="0" w:space="0" w:color="auto"/>
          </w:divBdr>
        </w:div>
        <w:div w:id="1330863258">
          <w:marLeft w:val="0"/>
          <w:marRight w:val="0"/>
          <w:marTop w:val="0"/>
          <w:marBottom w:val="0"/>
          <w:divBdr>
            <w:top w:val="none" w:sz="0" w:space="0" w:color="auto"/>
            <w:left w:val="none" w:sz="0" w:space="0" w:color="auto"/>
            <w:bottom w:val="none" w:sz="0" w:space="0" w:color="auto"/>
            <w:right w:val="none" w:sz="0" w:space="0" w:color="auto"/>
          </w:divBdr>
        </w:div>
        <w:div w:id="1823932441">
          <w:marLeft w:val="0"/>
          <w:marRight w:val="0"/>
          <w:marTop w:val="0"/>
          <w:marBottom w:val="0"/>
          <w:divBdr>
            <w:top w:val="none" w:sz="0" w:space="0" w:color="auto"/>
            <w:left w:val="none" w:sz="0" w:space="0" w:color="auto"/>
            <w:bottom w:val="none" w:sz="0" w:space="0" w:color="auto"/>
            <w:right w:val="none" w:sz="0" w:space="0" w:color="auto"/>
          </w:divBdr>
        </w:div>
      </w:divsChild>
    </w:div>
    <w:div w:id="1894267172">
      <w:bodyDiv w:val="1"/>
      <w:marLeft w:val="0"/>
      <w:marRight w:val="0"/>
      <w:marTop w:val="0"/>
      <w:marBottom w:val="0"/>
      <w:divBdr>
        <w:top w:val="none" w:sz="0" w:space="0" w:color="auto"/>
        <w:left w:val="none" w:sz="0" w:space="0" w:color="auto"/>
        <w:bottom w:val="none" w:sz="0" w:space="0" w:color="auto"/>
        <w:right w:val="none" w:sz="0" w:space="0" w:color="auto"/>
      </w:divBdr>
      <w:divsChild>
        <w:div w:id="15011909">
          <w:marLeft w:val="0"/>
          <w:marRight w:val="0"/>
          <w:marTop w:val="0"/>
          <w:marBottom w:val="0"/>
          <w:divBdr>
            <w:top w:val="none" w:sz="0" w:space="0" w:color="auto"/>
            <w:left w:val="none" w:sz="0" w:space="0" w:color="auto"/>
            <w:bottom w:val="none" w:sz="0" w:space="0" w:color="auto"/>
            <w:right w:val="none" w:sz="0" w:space="0" w:color="auto"/>
          </w:divBdr>
        </w:div>
        <w:div w:id="29261230">
          <w:marLeft w:val="0"/>
          <w:marRight w:val="0"/>
          <w:marTop w:val="0"/>
          <w:marBottom w:val="0"/>
          <w:divBdr>
            <w:top w:val="none" w:sz="0" w:space="0" w:color="auto"/>
            <w:left w:val="none" w:sz="0" w:space="0" w:color="auto"/>
            <w:bottom w:val="none" w:sz="0" w:space="0" w:color="auto"/>
            <w:right w:val="none" w:sz="0" w:space="0" w:color="auto"/>
          </w:divBdr>
        </w:div>
        <w:div w:id="40911433">
          <w:marLeft w:val="0"/>
          <w:marRight w:val="0"/>
          <w:marTop w:val="0"/>
          <w:marBottom w:val="0"/>
          <w:divBdr>
            <w:top w:val="none" w:sz="0" w:space="0" w:color="auto"/>
            <w:left w:val="none" w:sz="0" w:space="0" w:color="auto"/>
            <w:bottom w:val="none" w:sz="0" w:space="0" w:color="auto"/>
            <w:right w:val="none" w:sz="0" w:space="0" w:color="auto"/>
          </w:divBdr>
        </w:div>
        <w:div w:id="54478456">
          <w:marLeft w:val="0"/>
          <w:marRight w:val="0"/>
          <w:marTop w:val="0"/>
          <w:marBottom w:val="0"/>
          <w:divBdr>
            <w:top w:val="none" w:sz="0" w:space="0" w:color="auto"/>
            <w:left w:val="none" w:sz="0" w:space="0" w:color="auto"/>
            <w:bottom w:val="none" w:sz="0" w:space="0" w:color="auto"/>
            <w:right w:val="none" w:sz="0" w:space="0" w:color="auto"/>
          </w:divBdr>
        </w:div>
        <w:div w:id="71511774">
          <w:marLeft w:val="0"/>
          <w:marRight w:val="0"/>
          <w:marTop w:val="0"/>
          <w:marBottom w:val="0"/>
          <w:divBdr>
            <w:top w:val="none" w:sz="0" w:space="0" w:color="auto"/>
            <w:left w:val="none" w:sz="0" w:space="0" w:color="auto"/>
            <w:bottom w:val="none" w:sz="0" w:space="0" w:color="auto"/>
            <w:right w:val="none" w:sz="0" w:space="0" w:color="auto"/>
          </w:divBdr>
        </w:div>
        <w:div w:id="111360458">
          <w:marLeft w:val="0"/>
          <w:marRight w:val="0"/>
          <w:marTop w:val="0"/>
          <w:marBottom w:val="0"/>
          <w:divBdr>
            <w:top w:val="none" w:sz="0" w:space="0" w:color="auto"/>
            <w:left w:val="none" w:sz="0" w:space="0" w:color="auto"/>
            <w:bottom w:val="none" w:sz="0" w:space="0" w:color="auto"/>
            <w:right w:val="none" w:sz="0" w:space="0" w:color="auto"/>
          </w:divBdr>
        </w:div>
        <w:div w:id="136729721">
          <w:marLeft w:val="0"/>
          <w:marRight w:val="0"/>
          <w:marTop w:val="0"/>
          <w:marBottom w:val="0"/>
          <w:divBdr>
            <w:top w:val="none" w:sz="0" w:space="0" w:color="auto"/>
            <w:left w:val="none" w:sz="0" w:space="0" w:color="auto"/>
            <w:bottom w:val="none" w:sz="0" w:space="0" w:color="auto"/>
            <w:right w:val="none" w:sz="0" w:space="0" w:color="auto"/>
          </w:divBdr>
        </w:div>
        <w:div w:id="153572817">
          <w:marLeft w:val="0"/>
          <w:marRight w:val="0"/>
          <w:marTop w:val="0"/>
          <w:marBottom w:val="0"/>
          <w:divBdr>
            <w:top w:val="none" w:sz="0" w:space="0" w:color="auto"/>
            <w:left w:val="none" w:sz="0" w:space="0" w:color="auto"/>
            <w:bottom w:val="none" w:sz="0" w:space="0" w:color="auto"/>
            <w:right w:val="none" w:sz="0" w:space="0" w:color="auto"/>
          </w:divBdr>
        </w:div>
        <w:div w:id="205991256">
          <w:marLeft w:val="0"/>
          <w:marRight w:val="0"/>
          <w:marTop w:val="0"/>
          <w:marBottom w:val="0"/>
          <w:divBdr>
            <w:top w:val="none" w:sz="0" w:space="0" w:color="auto"/>
            <w:left w:val="none" w:sz="0" w:space="0" w:color="auto"/>
            <w:bottom w:val="none" w:sz="0" w:space="0" w:color="auto"/>
            <w:right w:val="none" w:sz="0" w:space="0" w:color="auto"/>
          </w:divBdr>
        </w:div>
        <w:div w:id="228467646">
          <w:marLeft w:val="0"/>
          <w:marRight w:val="0"/>
          <w:marTop w:val="0"/>
          <w:marBottom w:val="0"/>
          <w:divBdr>
            <w:top w:val="none" w:sz="0" w:space="0" w:color="auto"/>
            <w:left w:val="none" w:sz="0" w:space="0" w:color="auto"/>
            <w:bottom w:val="none" w:sz="0" w:space="0" w:color="auto"/>
            <w:right w:val="none" w:sz="0" w:space="0" w:color="auto"/>
          </w:divBdr>
        </w:div>
        <w:div w:id="231624506">
          <w:marLeft w:val="0"/>
          <w:marRight w:val="0"/>
          <w:marTop w:val="0"/>
          <w:marBottom w:val="0"/>
          <w:divBdr>
            <w:top w:val="none" w:sz="0" w:space="0" w:color="auto"/>
            <w:left w:val="none" w:sz="0" w:space="0" w:color="auto"/>
            <w:bottom w:val="none" w:sz="0" w:space="0" w:color="auto"/>
            <w:right w:val="none" w:sz="0" w:space="0" w:color="auto"/>
          </w:divBdr>
        </w:div>
        <w:div w:id="255091932">
          <w:marLeft w:val="0"/>
          <w:marRight w:val="0"/>
          <w:marTop w:val="0"/>
          <w:marBottom w:val="0"/>
          <w:divBdr>
            <w:top w:val="none" w:sz="0" w:space="0" w:color="auto"/>
            <w:left w:val="none" w:sz="0" w:space="0" w:color="auto"/>
            <w:bottom w:val="none" w:sz="0" w:space="0" w:color="auto"/>
            <w:right w:val="none" w:sz="0" w:space="0" w:color="auto"/>
          </w:divBdr>
        </w:div>
        <w:div w:id="260190057">
          <w:marLeft w:val="0"/>
          <w:marRight w:val="0"/>
          <w:marTop w:val="0"/>
          <w:marBottom w:val="0"/>
          <w:divBdr>
            <w:top w:val="none" w:sz="0" w:space="0" w:color="auto"/>
            <w:left w:val="none" w:sz="0" w:space="0" w:color="auto"/>
            <w:bottom w:val="none" w:sz="0" w:space="0" w:color="auto"/>
            <w:right w:val="none" w:sz="0" w:space="0" w:color="auto"/>
          </w:divBdr>
        </w:div>
        <w:div w:id="275020076">
          <w:marLeft w:val="0"/>
          <w:marRight w:val="0"/>
          <w:marTop w:val="0"/>
          <w:marBottom w:val="0"/>
          <w:divBdr>
            <w:top w:val="none" w:sz="0" w:space="0" w:color="auto"/>
            <w:left w:val="none" w:sz="0" w:space="0" w:color="auto"/>
            <w:bottom w:val="none" w:sz="0" w:space="0" w:color="auto"/>
            <w:right w:val="none" w:sz="0" w:space="0" w:color="auto"/>
          </w:divBdr>
        </w:div>
        <w:div w:id="298724858">
          <w:marLeft w:val="0"/>
          <w:marRight w:val="0"/>
          <w:marTop w:val="0"/>
          <w:marBottom w:val="0"/>
          <w:divBdr>
            <w:top w:val="none" w:sz="0" w:space="0" w:color="auto"/>
            <w:left w:val="none" w:sz="0" w:space="0" w:color="auto"/>
            <w:bottom w:val="none" w:sz="0" w:space="0" w:color="auto"/>
            <w:right w:val="none" w:sz="0" w:space="0" w:color="auto"/>
          </w:divBdr>
        </w:div>
        <w:div w:id="307781290">
          <w:marLeft w:val="0"/>
          <w:marRight w:val="0"/>
          <w:marTop w:val="0"/>
          <w:marBottom w:val="0"/>
          <w:divBdr>
            <w:top w:val="none" w:sz="0" w:space="0" w:color="auto"/>
            <w:left w:val="none" w:sz="0" w:space="0" w:color="auto"/>
            <w:bottom w:val="none" w:sz="0" w:space="0" w:color="auto"/>
            <w:right w:val="none" w:sz="0" w:space="0" w:color="auto"/>
          </w:divBdr>
        </w:div>
        <w:div w:id="331643997">
          <w:marLeft w:val="0"/>
          <w:marRight w:val="0"/>
          <w:marTop w:val="0"/>
          <w:marBottom w:val="0"/>
          <w:divBdr>
            <w:top w:val="none" w:sz="0" w:space="0" w:color="auto"/>
            <w:left w:val="none" w:sz="0" w:space="0" w:color="auto"/>
            <w:bottom w:val="none" w:sz="0" w:space="0" w:color="auto"/>
            <w:right w:val="none" w:sz="0" w:space="0" w:color="auto"/>
          </w:divBdr>
        </w:div>
        <w:div w:id="337274521">
          <w:marLeft w:val="0"/>
          <w:marRight w:val="0"/>
          <w:marTop w:val="0"/>
          <w:marBottom w:val="0"/>
          <w:divBdr>
            <w:top w:val="none" w:sz="0" w:space="0" w:color="auto"/>
            <w:left w:val="none" w:sz="0" w:space="0" w:color="auto"/>
            <w:bottom w:val="none" w:sz="0" w:space="0" w:color="auto"/>
            <w:right w:val="none" w:sz="0" w:space="0" w:color="auto"/>
          </w:divBdr>
        </w:div>
        <w:div w:id="337538275">
          <w:marLeft w:val="0"/>
          <w:marRight w:val="0"/>
          <w:marTop w:val="0"/>
          <w:marBottom w:val="0"/>
          <w:divBdr>
            <w:top w:val="none" w:sz="0" w:space="0" w:color="auto"/>
            <w:left w:val="none" w:sz="0" w:space="0" w:color="auto"/>
            <w:bottom w:val="none" w:sz="0" w:space="0" w:color="auto"/>
            <w:right w:val="none" w:sz="0" w:space="0" w:color="auto"/>
          </w:divBdr>
        </w:div>
        <w:div w:id="349380675">
          <w:marLeft w:val="0"/>
          <w:marRight w:val="0"/>
          <w:marTop w:val="0"/>
          <w:marBottom w:val="0"/>
          <w:divBdr>
            <w:top w:val="none" w:sz="0" w:space="0" w:color="auto"/>
            <w:left w:val="none" w:sz="0" w:space="0" w:color="auto"/>
            <w:bottom w:val="none" w:sz="0" w:space="0" w:color="auto"/>
            <w:right w:val="none" w:sz="0" w:space="0" w:color="auto"/>
          </w:divBdr>
        </w:div>
        <w:div w:id="365445662">
          <w:marLeft w:val="0"/>
          <w:marRight w:val="0"/>
          <w:marTop w:val="0"/>
          <w:marBottom w:val="0"/>
          <w:divBdr>
            <w:top w:val="none" w:sz="0" w:space="0" w:color="auto"/>
            <w:left w:val="none" w:sz="0" w:space="0" w:color="auto"/>
            <w:bottom w:val="none" w:sz="0" w:space="0" w:color="auto"/>
            <w:right w:val="none" w:sz="0" w:space="0" w:color="auto"/>
          </w:divBdr>
        </w:div>
        <w:div w:id="368378071">
          <w:marLeft w:val="0"/>
          <w:marRight w:val="0"/>
          <w:marTop w:val="0"/>
          <w:marBottom w:val="0"/>
          <w:divBdr>
            <w:top w:val="none" w:sz="0" w:space="0" w:color="auto"/>
            <w:left w:val="none" w:sz="0" w:space="0" w:color="auto"/>
            <w:bottom w:val="none" w:sz="0" w:space="0" w:color="auto"/>
            <w:right w:val="none" w:sz="0" w:space="0" w:color="auto"/>
          </w:divBdr>
        </w:div>
        <w:div w:id="376469515">
          <w:marLeft w:val="0"/>
          <w:marRight w:val="0"/>
          <w:marTop w:val="0"/>
          <w:marBottom w:val="0"/>
          <w:divBdr>
            <w:top w:val="none" w:sz="0" w:space="0" w:color="auto"/>
            <w:left w:val="none" w:sz="0" w:space="0" w:color="auto"/>
            <w:bottom w:val="none" w:sz="0" w:space="0" w:color="auto"/>
            <w:right w:val="none" w:sz="0" w:space="0" w:color="auto"/>
          </w:divBdr>
        </w:div>
        <w:div w:id="391277264">
          <w:marLeft w:val="0"/>
          <w:marRight w:val="0"/>
          <w:marTop w:val="0"/>
          <w:marBottom w:val="0"/>
          <w:divBdr>
            <w:top w:val="none" w:sz="0" w:space="0" w:color="auto"/>
            <w:left w:val="none" w:sz="0" w:space="0" w:color="auto"/>
            <w:bottom w:val="none" w:sz="0" w:space="0" w:color="auto"/>
            <w:right w:val="none" w:sz="0" w:space="0" w:color="auto"/>
          </w:divBdr>
        </w:div>
        <w:div w:id="447509932">
          <w:marLeft w:val="0"/>
          <w:marRight w:val="0"/>
          <w:marTop w:val="0"/>
          <w:marBottom w:val="0"/>
          <w:divBdr>
            <w:top w:val="none" w:sz="0" w:space="0" w:color="auto"/>
            <w:left w:val="none" w:sz="0" w:space="0" w:color="auto"/>
            <w:bottom w:val="none" w:sz="0" w:space="0" w:color="auto"/>
            <w:right w:val="none" w:sz="0" w:space="0" w:color="auto"/>
          </w:divBdr>
        </w:div>
        <w:div w:id="470169080">
          <w:marLeft w:val="0"/>
          <w:marRight w:val="0"/>
          <w:marTop w:val="0"/>
          <w:marBottom w:val="0"/>
          <w:divBdr>
            <w:top w:val="none" w:sz="0" w:space="0" w:color="auto"/>
            <w:left w:val="none" w:sz="0" w:space="0" w:color="auto"/>
            <w:bottom w:val="none" w:sz="0" w:space="0" w:color="auto"/>
            <w:right w:val="none" w:sz="0" w:space="0" w:color="auto"/>
          </w:divBdr>
        </w:div>
        <w:div w:id="479462503">
          <w:marLeft w:val="0"/>
          <w:marRight w:val="0"/>
          <w:marTop w:val="0"/>
          <w:marBottom w:val="0"/>
          <w:divBdr>
            <w:top w:val="none" w:sz="0" w:space="0" w:color="auto"/>
            <w:left w:val="none" w:sz="0" w:space="0" w:color="auto"/>
            <w:bottom w:val="none" w:sz="0" w:space="0" w:color="auto"/>
            <w:right w:val="none" w:sz="0" w:space="0" w:color="auto"/>
          </w:divBdr>
        </w:div>
        <w:div w:id="503671020">
          <w:marLeft w:val="0"/>
          <w:marRight w:val="0"/>
          <w:marTop w:val="0"/>
          <w:marBottom w:val="0"/>
          <w:divBdr>
            <w:top w:val="none" w:sz="0" w:space="0" w:color="auto"/>
            <w:left w:val="none" w:sz="0" w:space="0" w:color="auto"/>
            <w:bottom w:val="none" w:sz="0" w:space="0" w:color="auto"/>
            <w:right w:val="none" w:sz="0" w:space="0" w:color="auto"/>
          </w:divBdr>
        </w:div>
        <w:div w:id="510026937">
          <w:marLeft w:val="0"/>
          <w:marRight w:val="0"/>
          <w:marTop w:val="0"/>
          <w:marBottom w:val="0"/>
          <w:divBdr>
            <w:top w:val="none" w:sz="0" w:space="0" w:color="auto"/>
            <w:left w:val="none" w:sz="0" w:space="0" w:color="auto"/>
            <w:bottom w:val="none" w:sz="0" w:space="0" w:color="auto"/>
            <w:right w:val="none" w:sz="0" w:space="0" w:color="auto"/>
          </w:divBdr>
        </w:div>
        <w:div w:id="512690940">
          <w:marLeft w:val="0"/>
          <w:marRight w:val="0"/>
          <w:marTop w:val="0"/>
          <w:marBottom w:val="0"/>
          <w:divBdr>
            <w:top w:val="none" w:sz="0" w:space="0" w:color="auto"/>
            <w:left w:val="none" w:sz="0" w:space="0" w:color="auto"/>
            <w:bottom w:val="none" w:sz="0" w:space="0" w:color="auto"/>
            <w:right w:val="none" w:sz="0" w:space="0" w:color="auto"/>
          </w:divBdr>
        </w:div>
        <w:div w:id="562453427">
          <w:marLeft w:val="0"/>
          <w:marRight w:val="0"/>
          <w:marTop w:val="0"/>
          <w:marBottom w:val="0"/>
          <w:divBdr>
            <w:top w:val="none" w:sz="0" w:space="0" w:color="auto"/>
            <w:left w:val="none" w:sz="0" w:space="0" w:color="auto"/>
            <w:bottom w:val="none" w:sz="0" w:space="0" w:color="auto"/>
            <w:right w:val="none" w:sz="0" w:space="0" w:color="auto"/>
          </w:divBdr>
        </w:div>
        <w:div w:id="578295322">
          <w:marLeft w:val="0"/>
          <w:marRight w:val="0"/>
          <w:marTop w:val="0"/>
          <w:marBottom w:val="0"/>
          <w:divBdr>
            <w:top w:val="none" w:sz="0" w:space="0" w:color="auto"/>
            <w:left w:val="none" w:sz="0" w:space="0" w:color="auto"/>
            <w:bottom w:val="none" w:sz="0" w:space="0" w:color="auto"/>
            <w:right w:val="none" w:sz="0" w:space="0" w:color="auto"/>
          </w:divBdr>
        </w:div>
        <w:div w:id="609582495">
          <w:marLeft w:val="0"/>
          <w:marRight w:val="0"/>
          <w:marTop w:val="0"/>
          <w:marBottom w:val="0"/>
          <w:divBdr>
            <w:top w:val="none" w:sz="0" w:space="0" w:color="auto"/>
            <w:left w:val="none" w:sz="0" w:space="0" w:color="auto"/>
            <w:bottom w:val="none" w:sz="0" w:space="0" w:color="auto"/>
            <w:right w:val="none" w:sz="0" w:space="0" w:color="auto"/>
          </w:divBdr>
        </w:div>
        <w:div w:id="652024894">
          <w:marLeft w:val="0"/>
          <w:marRight w:val="0"/>
          <w:marTop w:val="0"/>
          <w:marBottom w:val="0"/>
          <w:divBdr>
            <w:top w:val="none" w:sz="0" w:space="0" w:color="auto"/>
            <w:left w:val="none" w:sz="0" w:space="0" w:color="auto"/>
            <w:bottom w:val="none" w:sz="0" w:space="0" w:color="auto"/>
            <w:right w:val="none" w:sz="0" w:space="0" w:color="auto"/>
          </w:divBdr>
        </w:div>
        <w:div w:id="668212309">
          <w:marLeft w:val="0"/>
          <w:marRight w:val="0"/>
          <w:marTop w:val="0"/>
          <w:marBottom w:val="0"/>
          <w:divBdr>
            <w:top w:val="none" w:sz="0" w:space="0" w:color="auto"/>
            <w:left w:val="none" w:sz="0" w:space="0" w:color="auto"/>
            <w:bottom w:val="none" w:sz="0" w:space="0" w:color="auto"/>
            <w:right w:val="none" w:sz="0" w:space="0" w:color="auto"/>
          </w:divBdr>
        </w:div>
        <w:div w:id="697513518">
          <w:marLeft w:val="0"/>
          <w:marRight w:val="0"/>
          <w:marTop w:val="0"/>
          <w:marBottom w:val="0"/>
          <w:divBdr>
            <w:top w:val="none" w:sz="0" w:space="0" w:color="auto"/>
            <w:left w:val="none" w:sz="0" w:space="0" w:color="auto"/>
            <w:bottom w:val="none" w:sz="0" w:space="0" w:color="auto"/>
            <w:right w:val="none" w:sz="0" w:space="0" w:color="auto"/>
          </w:divBdr>
        </w:div>
        <w:div w:id="699278340">
          <w:marLeft w:val="0"/>
          <w:marRight w:val="0"/>
          <w:marTop w:val="0"/>
          <w:marBottom w:val="0"/>
          <w:divBdr>
            <w:top w:val="none" w:sz="0" w:space="0" w:color="auto"/>
            <w:left w:val="none" w:sz="0" w:space="0" w:color="auto"/>
            <w:bottom w:val="none" w:sz="0" w:space="0" w:color="auto"/>
            <w:right w:val="none" w:sz="0" w:space="0" w:color="auto"/>
          </w:divBdr>
        </w:div>
        <w:div w:id="712460714">
          <w:marLeft w:val="0"/>
          <w:marRight w:val="0"/>
          <w:marTop w:val="0"/>
          <w:marBottom w:val="0"/>
          <w:divBdr>
            <w:top w:val="none" w:sz="0" w:space="0" w:color="auto"/>
            <w:left w:val="none" w:sz="0" w:space="0" w:color="auto"/>
            <w:bottom w:val="none" w:sz="0" w:space="0" w:color="auto"/>
            <w:right w:val="none" w:sz="0" w:space="0" w:color="auto"/>
          </w:divBdr>
        </w:div>
        <w:div w:id="752823487">
          <w:marLeft w:val="0"/>
          <w:marRight w:val="0"/>
          <w:marTop w:val="0"/>
          <w:marBottom w:val="0"/>
          <w:divBdr>
            <w:top w:val="none" w:sz="0" w:space="0" w:color="auto"/>
            <w:left w:val="none" w:sz="0" w:space="0" w:color="auto"/>
            <w:bottom w:val="none" w:sz="0" w:space="0" w:color="auto"/>
            <w:right w:val="none" w:sz="0" w:space="0" w:color="auto"/>
          </w:divBdr>
        </w:div>
        <w:div w:id="756361989">
          <w:marLeft w:val="0"/>
          <w:marRight w:val="0"/>
          <w:marTop w:val="0"/>
          <w:marBottom w:val="0"/>
          <w:divBdr>
            <w:top w:val="none" w:sz="0" w:space="0" w:color="auto"/>
            <w:left w:val="none" w:sz="0" w:space="0" w:color="auto"/>
            <w:bottom w:val="none" w:sz="0" w:space="0" w:color="auto"/>
            <w:right w:val="none" w:sz="0" w:space="0" w:color="auto"/>
          </w:divBdr>
        </w:div>
        <w:div w:id="773357085">
          <w:marLeft w:val="0"/>
          <w:marRight w:val="0"/>
          <w:marTop w:val="0"/>
          <w:marBottom w:val="0"/>
          <w:divBdr>
            <w:top w:val="none" w:sz="0" w:space="0" w:color="auto"/>
            <w:left w:val="none" w:sz="0" w:space="0" w:color="auto"/>
            <w:bottom w:val="none" w:sz="0" w:space="0" w:color="auto"/>
            <w:right w:val="none" w:sz="0" w:space="0" w:color="auto"/>
          </w:divBdr>
        </w:div>
        <w:div w:id="773792740">
          <w:marLeft w:val="0"/>
          <w:marRight w:val="0"/>
          <w:marTop w:val="0"/>
          <w:marBottom w:val="0"/>
          <w:divBdr>
            <w:top w:val="none" w:sz="0" w:space="0" w:color="auto"/>
            <w:left w:val="none" w:sz="0" w:space="0" w:color="auto"/>
            <w:bottom w:val="none" w:sz="0" w:space="0" w:color="auto"/>
            <w:right w:val="none" w:sz="0" w:space="0" w:color="auto"/>
          </w:divBdr>
        </w:div>
        <w:div w:id="817192878">
          <w:marLeft w:val="0"/>
          <w:marRight w:val="0"/>
          <w:marTop w:val="0"/>
          <w:marBottom w:val="0"/>
          <w:divBdr>
            <w:top w:val="none" w:sz="0" w:space="0" w:color="auto"/>
            <w:left w:val="none" w:sz="0" w:space="0" w:color="auto"/>
            <w:bottom w:val="none" w:sz="0" w:space="0" w:color="auto"/>
            <w:right w:val="none" w:sz="0" w:space="0" w:color="auto"/>
          </w:divBdr>
        </w:div>
        <w:div w:id="843084483">
          <w:marLeft w:val="0"/>
          <w:marRight w:val="0"/>
          <w:marTop w:val="0"/>
          <w:marBottom w:val="0"/>
          <w:divBdr>
            <w:top w:val="none" w:sz="0" w:space="0" w:color="auto"/>
            <w:left w:val="none" w:sz="0" w:space="0" w:color="auto"/>
            <w:bottom w:val="none" w:sz="0" w:space="0" w:color="auto"/>
            <w:right w:val="none" w:sz="0" w:space="0" w:color="auto"/>
          </w:divBdr>
        </w:div>
        <w:div w:id="845487111">
          <w:marLeft w:val="0"/>
          <w:marRight w:val="0"/>
          <w:marTop w:val="0"/>
          <w:marBottom w:val="0"/>
          <w:divBdr>
            <w:top w:val="none" w:sz="0" w:space="0" w:color="auto"/>
            <w:left w:val="none" w:sz="0" w:space="0" w:color="auto"/>
            <w:bottom w:val="none" w:sz="0" w:space="0" w:color="auto"/>
            <w:right w:val="none" w:sz="0" w:space="0" w:color="auto"/>
          </w:divBdr>
        </w:div>
        <w:div w:id="845561981">
          <w:marLeft w:val="0"/>
          <w:marRight w:val="0"/>
          <w:marTop w:val="0"/>
          <w:marBottom w:val="0"/>
          <w:divBdr>
            <w:top w:val="none" w:sz="0" w:space="0" w:color="auto"/>
            <w:left w:val="none" w:sz="0" w:space="0" w:color="auto"/>
            <w:bottom w:val="none" w:sz="0" w:space="0" w:color="auto"/>
            <w:right w:val="none" w:sz="0" w:space="0" w:color="auto"/>
          </w:divBdr>
        </w:div>
        <w:div w:id="880436271">
          <w:marLeft w:val="0"/>
          <w:marRight w:val="0"/>
          <w:marTop w:val="0"/>
          <w:marBottom w:val="0"/>
          <w:divBdr>
            <w:top w:val="none" w:sz="0" w:space="0" w:color="auto"/>
            <w:left w:val="none" w:sz="0" w:space="0" w:color="auto"/>
            <w:bottom w:val="none" w:sz="0" w:space="0" w:color="auto"/>
            <w:right w:val="none" w:sz="0" w:space="0" w:color="auto"/>
          </w:divBdr>
        </w:div>
        <w:div w:id="924726945">
          <w:marLeft w:val="0"/>
          <w:marRight w:val="0"/>
          <w:marTop w:val="0"/>
          <w:marBottom w:val="0"/>
          <w:divBdr>
            <w:top w:val="none" w:sz="0" w:space="0" w:color="auto"/>
            <w:left w:val="none" w:sz="0" w:space="0" w:color="auto"/>
            <w:bottom w:val="none" w:sz="0" w:space="0" w:color="auto"/>
            <w:right w:val="none" w:sz="0" w:space="0" w:color="auto"/>
          </w:divBdr>
        </w:div>
        <w:div w:id="955718498">
          <w:marLeft w:val="0"/>
          <w:marRight w:val="0"/>
          <w:marTop w:val="0"/>
          <w:marBottom w:val="0"/>
          <w:divBdr>
            <w:top w:val="none" w:sz="0" w:space="0" w:color="auto"/>
            <w:left w:val="none" w:sz="0" w:space="0" w:color="auto"/>
            <w:bottom w:val="none" w:sz="0" w:space="0" w:color="auto"/>
            <w:right w:val="none" w:sz="0" w:space="0" w:color="auto"/>
          </w:divBdr>
        </w:div>
        <w:div w:id="962542183">
          <w:marLeft w:val="0"/>
          <w:marRight w:val="0"/>
          <w:marTop w:val="0"/>
          <w:marBottom w:val="0"/>
          <w:divBdr>
            <w:top w:val="none" w:sz="0" w:space="0" w:color="auto"/>
            <w:left w:val="none" w:sz="0" w:space="0" w:color="auto"/>
            <w:bottom w:val="none" w:sz="0" w:space="0" w:color="auto"/>
            <w:right w:val="none" w:sz="0" w:space="0" w:color="auto"/>
          </w:divBdr>
        </w:div>
        <w:div w:id="967778570">
          <w:marLeft w:val="0"/>
          <w:marRight w:val="0"/>
          <w:marTop w:val="0"/>
          <w:marBottom w:val="0"/>
          <w:divBdr>
            <w:top w:val="none" w:sz="0" w:space="0" w:color="auto"/>
            <w:left w:val="none" w:sz="0" w:space="0" w:color="auto"/>
            <w:bottom w:val="none" w:sz="0" w:space="0" w:color="auto"/>
            <w:right w:val="none" w:sz="0" w:space="0" w:color="auto"/>
          </w:divBdr>
        </w:div>
        <w:div w:id="974919415">
          <w:marLeft w:val="0"/>
          <w:marRight w:val="0"/>
          <w:marTop w:val="0"/>
          <w:marBottom w:val="0"/>
          <w:divBdr>
            <w:top w:val="none" w:sz="0" w:space="0" w:color="auto"/>
            <w:left w:val="none" w:sz="0" w:space="0" w:color="auto"/>
            <w:bottom w:val="none" w:sz="0" w:space="0" w:color="auto"/>
            <w:right w:val="none" w:sz="0" w:space="0" w:color="auto"/>
          </w:divBdr>
        </w:div>
        <w:div w:id="984890609">
          <w:marLeft w:val="0"/>
          <w:marRight w:val="0"/>
          <w:marTop w:val="0"/>
          <w:marBottom w:val="0"/>
          <w:divBdr>
            <w:top w:val="none" w:sz="0" w:space="0" w:color="auto"/>
            <w:left w:val="none" w:sz="0" w:space="0" w:color="auto"/>
            <w:bottom w:val="none" w:sz="0" w:space="0" w:color="auto"/>
            <w:right w:val="none" w:sz="0" w:space="0" w:color="auto"/>
          </w:divBdr>
        </w:div>
        <w:div w:id="994263541">
          <w:marLeft w:val="0"/>
          <w:marRight w:val="0"/>
          <w:marTop w:val="0"/>
          <w:marBottom w:val="0"/>
          <w:divBdr>
            <w:top w:val="none" w:sz="0" w:space="0" w:color="auto"/>
            <w:left w:val="none" w:sz="0" w:space="0" w:color="auto"/>
            <w:bottom w:val="none" w:sz="0" w:space="0" w:color="auto"/>
            <w:right w:val="none" w:sz="0" w:space="0" w:color="auto"/>
          </w:divBdr>
        </w:div>
        <w:div w:id="1020815224">
          <w:marLeft w:val="0"/>
          <w:marRight w:val="0"/>
          <w:marTop w:val="0"/>
          <w:marBottom w:val="0"/>
          <w:divBdr>
            <w:top w:val="none" w:sz="0" w:space="0" w:color="auto"/>
            <w:left w:val="none" w:sz="0" w:space="0" w:color="auto"/>
            <w:bottom w:val="none" w:sz="0" w:space="0" w:color="auto"/>
            <w:right w:val="none" w:sz="0" w:space="0" w:color="auto"/>
          </w:divBdr>
        </w:div>
        <w:div w:id="1049190244">
          <w:marLeft w:val="0"/>
          <w:marRight w:val="0"/>
          <w:marTop w:val="0"/>
          <w:marBottom w:val="0"/>
          <w:divBdr>
            <w:top w:val="none" w:sz="0" w:space="0" w:color="auto"/>
            <w:left w:val="none" w:sz="0" w:space="0" w:color="auto"/>
            <w:bottom w:val="none" w:sz="0" w:space="0" w:color="auto"/>
            <w:right w:val="none" w:sz="0" w:space="0" w:color="auto"/>
          </w:divBdr>
        </w:div>
        <w:div w:id="1090855992">
          <w:marLeft w:val="0"/>
          <w:marRight w:val="0"/>
          <w:marTop w:val="0"/>
          <w:marBottom w:val="0"/>
          <w:divBdr>
            <w:top w:val="none" w:sz="0" w:space="0" w:color="auto"/>
            <w:left w:val="none" w:sz="0" w:space="0" w:color="auto"/>
            <w:bottom w:val="none" w:sz="0" w:space="0" w:color="auto"/>
            <w:right w:val="none" w:sz="0" w:space="0" w:color="auto"/>
          </w:divBdr>
        </w:div>
        <w:div w:id="1110860206">
          <w:marLeft w:val="0"/>
          <w:marRight w:val="0"/>
          <w:marTop w:val="0"/>
          <w:marBottom w:val="0"/>
          <w:divBdr>
            <w:top w:val="none" w:sz="0" w:space="0" w:color="auto"/>
            <w:left w:val="none" w:sz="0" w:space="0" w:color="auto"/>
            <w:bottom w:val="none" w:sz="0" w:space="0" w:color="auto"/>
            <w:right w:val="none" w:sz="0" w:space="0" w:color="auto"/>
          </w:divBdr>
        </w:div>
        <w:div w:id="1122990894">
          <w:marLeft w:val="0"/>
          <w:marRight w:val="0"/>
          <w:marTop w:val="0"/>
          <w:marBottom w:val="0"/>
          <w:divBdr>
            <w:top w:val="none" w:sz="0" w:space="0" w:color="auto"/>
            <w:left w:val="none" w:sz="0" w:space="0" w:color="auto"/>
            <w:bottom w:val="none" w:sz="0" w:space="0" w:color="auto"/>
            <w:right w:val="none" w:sz="0" w:space="0" w:color="auto"/>
          </w:divBdr>
        </w:div>
        <w:div w:id="1129740665">
          <w:marLeft w:val="0"/>
          <w:marRight w:val="0"/>
          <w:marTop w:val="0"/>
          <w:marBottom w:val="0"/>
          <w:divBdr>
            <w:top w:val="none" w:sz="0" w:space="0" w:color="auto"/>
            <w:left w:val="none" w:sz="0" w:space="0" w:color="auto"/>
            <w:bottom w:val="none" w:sz="0" w:space="0" w:color="auto"/>
            <w:right w:val="none" w:sz="0" w:space="0" w:color="auto"/>
          </w:divBdr>
        </w:div>
        <w:div w:id="1141120408">
          <w:marLeft w:val="0"/>
          <w:marRight w:val="0"/>
          <w:marTop w:val="0"/>
          <w:marBottom w:val="0"/>
          <w:divBdr>
            <w:top w:val="none" w:sz="0" w:space="0" w:color="auto"/>
            <w:left w:val="none" w:sz="0" w:space="0" w:color="auto"/>
            <w:bottom w:val="none" w:sz="0" w:space="0" w:color="auto"/>
            <w:right w:val="none" w:sz="0" w:space="0" w:color="auto"/>
          </w:divBdr>
        </w:div>
        <w:div w:id="1177111622">
          <w:marLeft w:val="0"/>
          <w:marRight w:val="0"/>
          <w:marTop w:val="0"/>
          <w:marBottom w:val="0"/>
          <w:divBdr>
            <w:top w:val="none" w:sz="0" w:space="0" w:color="auto"/>
            <w:left w:val="none" w:sz="0" w:space="0" w:color="auto"/>
            <w:bottom w:val="none" w:sz="0" w:space="0" w:color="auto"/>
            <w:right w:val="none" w:sz="0" w:space="0" w:color="auto"/>
          </w:divBdr>
        </w:div>
        <w:div w:id="1181819626">
          <w:marLeft w:val="0"/>
          <w:marRight w:val="0"/>
          <w:marTop w:val="0"/>
          <w:marBottom w:val="0"/>
          <w:divBdr>
            <w:top w:val="none" w:sz="0" w:space="0" w:color="auto"/>
            <w:left w:val="none" w:sz="0" w:space="0" w:color="auto"/>
            <w:bottom w:val="none" w:sz="0" w:space="0" w:color="auto"/>
            <w:right w:val="none" w:sz="0" w:space="0" w:color="auto"/>
          </w:divBdr>
        </w:div>
        <w:div w:id="1195773268">
          <w:marLeft w:val="0"/>
          <w:marRight w:val="0"/>
          <w:marTop w:val="0"/>
          <w:marBottom w:val="0"/>
          <w:divBdr>
            <w:top w:val="none" w:sz="0" w:space="0" w:color="auto"/>
            <w:left w:val="none" w:sz="0" w:space="0" w:color="auto"/>
            <w:bottom w:val="none" w:sz="0" w:space="0" w:color="auto"/>
            <w:right w:val="none" w:sz="0" w:space="0" w:color="auto"/>
          </w:divBdr>
        </w:div>
        <w:div w:id="1212497284">
          <w:marLeft w:val="0"/>
          <w:marRight w:val="0"/>
          <w:marTop w:val="0"/>
          <w:marBottom w:val="0"/>
          <w:divBdr>
            <w:top w:val="none" w:sz="0" w:space="0" w:color="auto"/>
            <w:left w:val="none" w:sz="0" w:space="0" w:color="auto"/>
            <w:bottom w:val="none" w:sz="0" w:space="0" w:color="auto"/>
            <w:right w:val="none" w:sz="0" w:space="0" w:color="auto"/>
          </w:divBdr>
        </w:div>
        <w:div w:id="1232808329">
          <w:marLeft w:val="0"/>
          <w:marRight w:val="0"/>
          <w:marTop w:val="0"/>
          <w:marBottom w:val="0"/>
          <w:divBdr>
            <w:top w:val="none" w:sz="0" w:space="0" w:color="auto"/>
            <w:left w:val="none" w:sz="0" w:space="0" w:color="auto"/>
            <w:bottom w:val="none" w:sz="0" w:space="0" w:color="auto"/>
            <w:right w:val="none" w:sz="0" w:space="0" w:color="auto"/>
          </w:divBdr>
        </w:div>
        <w:div w:id="1235551011">
          <w:marLeft w:val="0"/>
          <w:marRight w:val="0"/>
          <w:marTop w:val="0"/>
          <w:marBottom w:val="0"/>
          <w:divBdr>
            <w:top w:val="none" w:sz="0" w:space="0" w:color="auto"/>
            <w:left w:val="none" w:sz="0" w:space="0" w:color="auto"/>
            <w:bottom w:val="none" w:sz="0" w:space="0" w:color="auto"/>
            <w:right w:val="none" w:sz="0" w:space="0" w:color="auto"/>
          </w:divBdr>
        </w:div>
        <w:div w:id="1236090832">
          <w:marLeft w:val="0"/>
          <w:marRight w:val="0"/>
          <w:marTop w:val="0"/>
          <w:marBottom w:val="0"/>
          <w:divBdr>
            <w:top w:val="none" w:sz="0" w:space="0" w:color="auto"/>
            <w:left w:val="none" w:sz="0" w:space="0" w:color="auto"/>
            <w:bottom w:val="none" w:sz="0" w:space="0" w:color="auto"/>
            <w:right w:val="none" w:sz="0" w:space="0" w:color="auto"/>
          </w:divBdr>
        </w:div>
        <w:div w:id="1250582146">
          <w:marLeft w:val="0"/>
          <w:marRight w:val="0"/>
          <w:marTop w:val="0"/>
          <w:marBottom w:val="0"/>
          <w:divBdr>
            <w:top w:val="none" w:sz="0" w:space="0" w:color="auto"/>
            <w:left w:val="none" w:sz="0" w:space="0" w:color="auto"/>
            <w:bottom w:val="none" w:sz="0" w:space="0" w:color="auto"/>
            <w:right w:val="none" w:sz="0" w:space="0" w:color="auto"/>
          </w:divBdr>
        </w:div>
        <w:div w:id="1265767304">
          <w:marLeft w:val="0"/>
          <w:marRight w:val="0"/>
          <w:marTop w:val="0"/>
          <w:marBottom w:val="0"/>
          <w:divBdr>
            <w:top w:val="none" w:sz="0" w:space="0" w:color="auto"/>
            <w:left w:val="none" w:sz="0" w:space="0" w:color="auto"/>
            <w:bottom w:val="none" w:sz="0" w:space="0" w:color="auto"/>
            <w:right w:val="none" w:sz="0" w:space="0" w:color="auto"/>
          </w:divBdr>
        </w:div>
        <w:div w:id="1311441849">
          <w:marLeft w:val="0"/>
          <w:marRight w:val="0"/>
          <w:marTop w:val="0"/>
          <w:marBottom w:val="0"/>
          <w:divBdr>
            <w:top w:val="none" w:sz="0" w:space="0" w:color="auto"/>
            <w:left w:val="none" w:sz="0" w:space="0" w:color="auto"/>
            <w:bottom w:val="none" w:sz="0" w:space="0" w:color="auto"/>
            <w:right w:val="none" w:sz="0" w:space="0" w:color="auto"/>
          </w:divBdr>
        </w:div>
        <w:div w:id="1323660415">
          <w:marLeft w:val="0"/>
          <w:marRight w:val="0"/>
          <w:marTop w:val="0"/>
          <w:marBottom w:val="0"/>
          <w:divBdr>
            <w:top w:val="none" w:sz="0" w:space="0" w:color="auto"/>
            <w:left w:val="none" w:sz="0" w:space="0" w:color="auto"/>
            <w:bottom w:val="none" w:sz="0" w:space="0" w:color="auto"/>
            <w:right w:val="none" w:sz="0" w:space="0" w:color="auto"/>
          </w:divBdr>
        </w:div>
        <w:div w:id="1366175825">
          <w:marLeft w:val="0"/>
          <w:marRight w:val="0"/>
          <w:marTop w:val="0"/>
          <w:marBottom w:val="0"/>
          <w:divBdr>
            <w:top w:val="none" w:sz="0" w:space="0" w:color="auto"/>
            <w:left w:val="none" w:sz="0" w:space="0" w:color="auto"/>
            <w:bottom w:val="none" w:sz="0" w:space="0" w:color="auto"/>
            <w:right w:val="none" w:sz="0" w:space="0" w:color="auto"/>
          </w:divBdr>
        </w:div>
        <w:div w:id="1397775826">
          <w:marLeft w:val="0"/>
          <w:marRight w:val="0"/>
          <w:marTop w:val="0"/>
          <w:marBottom w:val="0"/>
          <w:divBdr>
            <w:top w:val="none" w:sz="0" w:space="0" w:color="auto"/>
            <w:left w:val="none" w:sz="0" w:space="0" w:color="auto"/>
            <w:bottom w:val="none" w:sz="0" w:space="0" w:color="auto"/>
            <w:right w:val="none" w:sz="0" w:space="0" w:color="auto"/>
          </w:divBdr>
        </w:div>
        <w:div w:id="1400399067">
          <w:marLeft w:val="0"/>
          <w:marRight w:val="0"/>
          <w:marTop w:val="0"/>
          <w:marBottom w:val="0"/>
          <w:divBdr>
            <w:top w:val="none" w:sz="0" w:space="0" w:color="auto"/>
            <w:left w:val="none" w:sz="0" w:space="0" w:color="auto"/>
            <w:bottom w:val="none" w:sz="0" w:space="0" w:color="auto"/>
            <w:right w:val="none" w:sz="0" w:space="0" w:color="auto"/>
          </w:divBdr>
        </w:div>
        <w:div w:id="1506752108">
          <w:marLeft w:val="0"/>
          <w:marRight w:val="0"/>
          <w:marTop w:val="0"/>
          <w:marBottom w:val="0"/>
          <w:divBdr>
            <w:top w:val="none" w:sz="0" w:space="0" w:color="auto"/>
            <w:left w:val="none" w:sz="0" w:space="0" w:color="auto"/>
            <w:bottom w:val="none" w:sz="0" w:space="0" w:color="auto"/>
            <w:right w:val="none" w:sz="0" w:space="0" w:color="auto"/>
          </w:divBdr>
        </w:div>
        <w:div w:id="1512573372">
          <w:marLeft w:val="0"/>
          <w:marRight w:val="0"/>
          <w:marTop w:val="0"/>
          <w:marBottom w:val="0"/>
          <w:divBdr>
            <w:top w:val="none" w:sz="0" w:space="0" w:color="auto"/>
            <w:left w:val="none" w:sz="0" w:space="0" w:color="auto"/>
            <w:bottom w:val="none" w:sz="0" w:space="0" w:color="auto"/>
            <w:right w:val="none" w:sz="0" w:space="0" w:color="auto"/>
          </w:divBdr>
        </w:div>
        <w:div w:id="1550804292">
          <w:marLeft w:val="0"/>
          <w:marRight w:val="0"/>
          <w:marTop w:val="0"/>
          <w:marBottom w:val="0"/>
          <w:divBdr>
            <w:top w:val="none" w:sz="0" w:space="0" w:color="auto"/>
            <w:left w:val="none" w:sz="0" w:space="0" w:color="auto"/>
            <w:bottom w:val="none" w:sz="0" w:space="0" w:color="auto"/>
            <w:right w:val="none" w:sz="0" w:space="0" w:color="auto"/>
          </w:divBdr>
        </w:div>
        <w:div w:id="1597322795">
          <w:marLeft w:val="0"/>
          <w:marRight w:val="0"/>
          <w:marTop w:val="0"/>
          <w:marBottom w:val="0"/>
          <w:divBdr>
            <w:top w:val="none" w:sz="0" w:space="0" w:color="auto"/>
            <w:left w:val="none" w:sz="0" w:space="0" w:color="auto"/>
            <w:bottom w:val="none" w:sz="0" w:space="0" w:color="auto"/>
            <w:right w:val="none" w:sz="0" w:space="0" w:color="auto"/>
          </w:divBdr>
        </w:div>
        <w:div w:id="1598322664">
          <w:marLeft w:val="0"/>
          <w:marRight w:val="0"/>
          <w:marTop w:val="0"/>
          <w:marBottom w:val="0"/>
          <w:divBdr>
            <w:top w:val="none" w:sz="0" w:space="0" w:color="auto"/>
            <w:left w:val="none" w:sz="0" w:space="0" w:color="auto"/>
            <w:bottom w:val="none" w:sz="0" w:space="0" w:color="auto"/>
            <w:right w:val="none" w:sz="0" w:space="0" w:color="auto"/>
          </w:divBdr>
        </w:div>
        <w:div w:id="1598366573">
          <w:marLeft w:val="0"/>
          <w:marRight w:val="0"/>
          <w:marTop w:val="0"/>
          <w:marBottom w:val="0"/>
          <w:divBdr>
            <w:top w:val="none" w:sz="0" w:space="0" w:color="auto"/>
            <w:left w:val="none" w:sz="0" w:space="0" w:color="auto"/>
            <w:bottom w:val="none" w:sz="0" w:space="0" w:color="auto"/>
            <w:right w:val="none" w:sz="0" w:space="0" w:color="auto"/>
          </w:divBdr>
        </w:div>
        <w:div w:id="1601252839">
          <w:marLeft w:val="0"/>
          <w:marRight w:val="0"/>
          <w:marTop w:val="0"/>
          <w:marBottom w:val="0"/>
          <w:divBdr>
            <w:top w:val="none" w:sz="0" w:space="0" w:color="auto"/>
            <w:left w:val="none" w:sz="0" w:space="0" w:color="auto"/>
            <w:bottom w:val="none" w:sz="0" w:space="0" w:color="auto"/>
            <w:right w:val="none" w:sz="0" w:space="0" w:color="auto"/>
          </w:divBdr>
        </w:div>
        <w:div w:id="1611161290">
          <w:marLeft w:val="0"/>
          <w:marRight w:val="0"/>
          <w:marTop w:val="0"/>
          <w:marBottom w:val="0"/>
          <w:divBdr>
            <w:top w:val="none" w:sz="0" w:space="0" w:color="auto"/>
            <w:left w:val="none" w:sz="0" w:space="0" w:color="auto"/>
            <w:bottom w:val="none" w:sz="0" w:space="0" w:color="auto"/>
            <w:right w:val="none" w:sz="0" w:space="0" w:color="auto"/>
          </w:divBdr>
        </w:div>
        <w:div w:id="1645742132">
          <w:marLeft w:val="0"/>
          <w:marRight w:val="0"/>
          <w:marTop w:val="0"/>
          <w:marBottom w:val="0"/>
          <w:divBdr>
            <w:top w:val="none" w:sz="0" w:space="0" w:color="auto"/>
            <w:left w:val="none" w:sz="0" w:space="0" w:color="auto"/>
            <w:bottom w:val="none" w:sz="0" w:space="0" w:color="auto"/>
            <w:right w:val="none" w:sz="0" w:space="0" w:color="auto"/>
          </w:divBdr>
        </w:div>
        <w:div w:id="1646473959">
          <w:marLeft w:val="0"/>
          <w:marRight w:val="0"/>
          <w:marTop w:val="0"/>
          <w:marBottom w:val="0"/>
          <w:divBdr>
            <w:top w:val="none" w:sz="0" w:space="0" w:color="auto"/>
            <w:left w:val="none" w:sz="0" w:space="0" w:color="auto"/>
            <w:bottom w:val="none" w:sz="0" w:space="0" w:color="auto"/>
            <w:right w:val="none" w:sz="0" w:space="0" w:color="auto"/>
          </w:divBdr>
        </w:div>
        <w:div w:id="1671593898">
          <w:marLeft w:val="0"/>
          <w:marRight w:val="0"/>
          <w:marTop w:val="0"/>
          <w:marBottom w:val="0"/>
          <w:divBdr>
            <w:top w:val="none" w:sz="0" w:space="0" w:color="auto"/>
            <w:left w:val="none" w:sz="0" w:space="0" w:color="auto"/>
            <w:bottom w:val="none" w:sz="0" w:space="0" w:color="auto"/>
            <w:right w:val="none" w:sz="0" w:space="0" w:color="auto"/>
          </w:divBdr>
        </w:div>
        <w:div w:id="1676178723">
          <w:marLeft w:val="0"/>
          <w:marRight w:val="0"/>
          <w:marTop w:val="0"/>
          <w:marBottom w:val="0"/>
          <w:divBdr>
            <w:top w:val="none" w:sz="0" w:space="0" w:color="auto"/>
            <w:left w:val="none" w:sz="0" w:space="0" w:color="auto"/>
            <w:bottom w:val="none" w:sz="0" w:space="0" w:color="auto"/>
            <w:right w:val="none" w:sz="0" w:space="0" w:color="auto"/>
          </w:divBdr>
        </w:div>
        <w:div w:id="1710647163">
          <w:marLeft w:val="0"/>
          <w:marRight w:val="0"/>
          <w:marTop w:val="0"/>
          <w:marBottom w:val="0"/>
          <w:divBdr>
            <w:top w:val="none" w:sz="0" w:space="0" w:color="auto"/>
            <w:left w:val="none" w:sz="0" w:space="0" w:color="auto"/>
            <w:bottom w:val="none" w:sz="0" w:space="0" w:color="auto"/>
            <w:right w:val="none" w:sz="0" w:space="0" w:color="auto"/>
          </w:divBdr>
        </w:div>
        <w:div w:id="1754204446">
          <w:marLeft w:val="0"/>
          <w:marRight w:val="0"/>
          <w:marTop w:val="0"/>
          <w:marBottom w:val="0"/>
          <w:divBdr>
            <w:top w:val="none" w:sz="0" w:space="0" w:color="auto"/>
            <w:left w:val="none" w:sz="0" w:space="0" w:color="auto"/>
            <w:bottom w:val="none" w:sz="0" w:space="0" w:color="auto"/>
            <w:right w:val="none" w:sz="0" w:space="0" w:color="auto"/>
          </w:divBdr>
        </w:div>
        <w:div w:id="1800295738">
          <w:marLeft w:val="0"/>
          <w:marRight w:val="0"/>
          <w:marTop w:val="0"/>
          <w:marBottom w:val="0"/>
          <w:divBdr>
            <w:top w:val="none" w:sz="0" w:space="0" w:color="auto"/>
            <w:left w:val="none" w:sz="0" w:space="0" w:color="auto"/>
            <w:bottom w:val="none" w:sz="0" w:space="0" w:color="auto"/>
            <w:right w:val="none" w:sz="0" w:space="0" w:color="auto"/>
          </w:divBdr>
        </w:div>
        <w:div w:id="1802075185">
          <w:marLeft w:val="0"/>
          <w:marRight w:val="0"/>
          <w:marTop w:val="0"/>
          <w:marBottom w:val="0"/>
          <w:divBdr>
            <w:top w:val="none" w:sz="0" w:space="0" w:color="auto"/>
            <w:left w:val="none" w:sz="0" w:space="0" w:color="auto"/>
            <w:bottom w:val="none" w:sz="0" w:space="0" w:color="auto"/>
            <w:right w:val="none" w:sz="0" w:space="0" w:color="auto"/>
          </w:divBdr>
        </w:div>
        <w:div w:id="1830099149">
          <w:marLeft w:val="0"/>
          <w:marRight w:val="0"/>
          <w:marTop w:val="0"/>
          <w:marBottom w:val="0"/>
          <w:divBdr>
            <w:top w:val="none" w:sz="0" w:space="0" w:color="auto"/>
            <w:left w:val="none" w:sz="0" w:space="0" w:color="auto"/>
            <w:bottom w:val="none" w:sz="0" w:space="0" w:color="auto"/>
            <w:right w:val="none" w:sz="0" w:space="0" w:color="auto"/>
          </w:divBdr>
        </w:div>
        <w:div w:id="1846166949">
          <w:marLeft w:val="0"/>
          <w:marRight w:val="0"/>
          <w:marTop w:val="0"/>
          <w:marBottom w:val="0"/>
          <w:divBdr>
            <w:top w:val="none" w:sz="0" w:space="0" w:color="auto"/>
            <w:left w:val="none" w:sz="0" w:space="0" w:color="auto"/>
            <w:bottom w:val="none" w:sz="0" w:space="0" w:color="auto"/>
            <w:right w:val="none" w:sz="0" w:space="0" w:color="auto"/>
          </w:divBdr>
        </w:div>
        <w:div w:id="1854952723">
          <w:marLeft w:val="0"/>
          <w:marRight w:val="0"/>
          <w:marTop w:val="0"/>
          <w:marBottom w:val="0"/>
          <w:divBdr>
            <w:top w:val="none" w:sz="0" w:space="0" w:color="auto"/>
            <w:left w:val="none" w:sz="0" w:space="0" w:color="auto"/>
            <w:bottom w:val="none" w:sz="0" w:space="0" w:color="auto"/>
            <w:right w:val="none" w:sz="0" w:space="0" w:color="auto"/>
          </w:divBdr>
        </w:div>
        <w:div w:id="1897618196">
          <w:marLeft w:val="0"/>
          <w:marRight w:val="0"/>
          <w:marTop w:val="0"/>
          <w:marBottom w:val="0"/>
          <w:divBdr>
            <w:top w:val="none" w:sz="0" w:space="0" w:color="auto"/>
            <w:left w:val="none" w:sz="0" w:space="0" w:color="auto"/>
            <w:bottom w:val="none" w:sz="0" w:space="0" w:color="auto"/>
            <w:right w:val="none" w:sz="0" w:space="0" w:color="auto"/>
          </w:divBdr>
        </w:div>
        <w:div w:id="1940018509">
          <w:marLeft w:val="0"/>
          <w:marRight w:val="0"/>
          <w:marTop w:val="0"/>
          <w:marBottom w:val="0"/>
          <w:divBdr>
            <w:top w:val="none" w:sz="0" w:space="0" w:color="auto"/>
            <w:left w:val="none" w:sz="0" w:space="0" w:color="auto"/>
            <w:bottom w:val="none" w:sz="0" w:space="0" w:color="auto"/>
            <w:right w:val="none" w:sz="0" w:space="0" w:color="auto"/>
          </w:divBdr>
        </w:div>
        <w:div w:id="1976063746">
          <w:marLeft w:val="0"/>
          <w:marRight w:val="0"/>
          <w:marTop w:val="0"/>
          <w:marBottom w:val="0"/>
          <w:divBdr>
            <w:top w:val="none" w:sz="0" w:space="0" w:color="auto"/>
            <w:left w:val="none" w:sz="0" w:space="0" w:color="auto"/>
            <w:bottom w:val="none" w:sz="0" w:space="0" w:color="auto"/>
            <w:right w:val="none" w:sz="0" w:space="0" w:color="auto"/>
          </w:divBdr>
        </w:div>
        <w:div w:id="1981374395">
          <w:marLeft w:val="0"/>
          <w:marRight w:val="0"/>
          <w:marTop w:val="0"/>
          <w:marBottom w:val="0"/>
          <w:divBdr>
            <w:top w:val="none" w:sz="0" w:space="0" w:color="auto"/>
            <w:left w:val="none" w:sz="0" w:space="0" w:color="auto"/>
            <w:bottom w:val="none" w:sz="0" w:space="0" w:color="auto"/>
            <w:right w:val="none" w:sz="0" w:space="0" w:color="auto"/>
          </w:divBdr>
        </w:div>
        <w:div w:id="1986351715">
          <w:marLeft w:val="0"/>
          <w:marRight w:val="0"/>
          <w:marTop w:val="0"/>
          <w:marBottom w:val="0"/>
          <w:divBdr>
            <w:top w:val="none" w:sz="0" w:space="0" w:color="auto"/>
            <w:left w:val="none" w:sz="0" w:space="0" w:color="auto"/>
            <w:bottom w:val="none" w:sz="0" w:space="0" w:color="auto"/>
            <w:right w:val="none" w:sz="0" w:space="0" w:color="auto"/>
          </w:divBdr>
        </w:div>
        <w:div w:id="1999456980">
          <w:marLeft w:val="0"/>
          <w:marRight w:val="0"/>
          <w:marTop w:val="0"/>
          <w:marBottom w:val="0"/>
          <w:divBdr>
            <w:top w:val="none" w:sz="0" w:space="0" w:color="auto"/>
            <w:left w:val="none" w:sz="0" w:space="0" w:color="auto"/>
            <w:bottom w:val="none" w:sz="0" w:space="0" w:color="auto"/>
            <w:right w:val="none" w:sz="0" w:space="0" w:color="auto"/>
          </w:divBdr>
        </w:div>
        <w:div w:id="2006738290">
          <w:marLeft w:val="0"/>
          <w:marRight w:val="0"/>
          <w:marTop w:val="0"/>
          <w:marBottom w:val="0"/>
          <w:divBdr>
            <w:top w:val="none" w:sz="0" w:space="0" w:color="auto"/>
            <w:left w:val="none" w:sz="0" w:space="0" w:color="auto"/>
            <w:bottom w:val="none" w:sz="0" w:space="0" w:color="auto"/>
            <w:right w:val="none" w:sz="0" w:space="0" w:color="auto"/>
          </w:divBdr>
        </w:div>
        <w:div w:id="2011322686">
          <w:marLeft w:val="0"/>
          <w:marRight w:val="0"/>
          <w:marTop w:val="0"/>
          <w:marBottom w:val="0"/>
          <w:divBdr>
            <w:top w:val="none" w:sz="0" w:space="0" w:color="auto"/>
            <w:left w:val="none" w:sz="0" w:space="0" w:color="auto"/>
            <w:bottom w:val="none" w:sz="0" w:space="0" w:color="auto"/>
            <w:right w:val="none" w:sz="0" w:space="0" w:color="auto"/>
          </w:divBdr>
        </w:div>
        <w:div w:id="2014067877">
          <w:marLeft w:val="0"/>
          <w:marRight w:val="0"/>
          <w:marTop w:val="0"/>
          <w:marBottom w:val="0"/>
          <w:divBdr>
            <w:top w:val="none" w:sz="0" w:space="0" w:color="auto"/>
            <w:left w:val="none" w:sz="0" w:space="0" w:color="auto"/>
            <w:bottom w:val="none" w:sz="0" w:space="0" w:color="auto"/>
            <w:right w:val="none" w:sz="0" w:space="0" w:color="auto"/>
          </w:divBdr>
        </w:div>
        <w:div w:id="2015110414">
          <w:marLeft w:val="0"/>
          <w:marRight w:val="0"/>
          <w:marTop w:val="0"/>
          <w:marBottom w:val="0"/>
          <w:divBdr>
            <w:top w:val="none" w:sz="0" w:space="0" w:color="auto"/>
            <w:left w:val="none" w:sz="0" w:space="0" w:color="auto"/>
            <w:bottom w:val="none" w:sz="0" w:space="0" w:color="auto"/>
            <w:right w:val="none" w:sz="0" w:space="0" w:color="auto"/>
          </w:divBdr>
        </w:div>
        <w:div w:id="2017687516">
          <w:marLeft w:val="0"/>
          <w:marRight w:val="0"/>
          <w:marTop w:val="0"/>
          <w:marBottom w:val="0"/>
          <w:divBdr>
            <w:top w:val="none" w:sz="0" w:space="0" w:color="auto"/>
            <w:left w:val="none" w:sz="0" w:space="0" w:color="auto"/>
            <w:bottom w:val="none" w:sz="0" w:space="0" w:color="auto"/>
            <w:right w:val="none" w:sz="0" w:space="0" w:color="auto"/>
          </w:divBdr>
        </w:div>
        <w:div w:id="2045327681">
          <w:marLeft w:val="0"/>
          <w:marRight w:val="0"/>
          <w:marTop w:val="0"/>
          <w:marBottom w:val="0"/>
          <w:divBdr>
            <w:top w:val="none" w:sz="0" w:space="0" w:color="auto"/>
            <w:left w:val="none" w:sz="0" w:space="0" w:color="auto"/>
            <w:bottom w:val="none" w:sz="0" w:space="0" w:color="auto"/>
            <w:right w:val="none" w:sz="0" w:space="0" w:color="auto"/>
          </w:divBdr>
        </w:div>
        <w:div w:id="2046708009">
          <w:marLeft w:val="0"/>
          <w:marRight w:val="0"/>
          <w:marTop w:val="0"/>
          <w:marBottom w:val="0"/>
          <w:divBdr>
            <w:top w:val="none" w:sz="0" w:space="0" w:color="auto"/>
            <w:left w:val="none" w:sz="0" w:space="0" w:color="auto"/>
            <w:bottom w:val="none" w:sz="0" w:space="0" w:color="auto"/>
            <w:right w:val="none" w:sz="0" w:space="0" w:color="auto"/>
          </w:divBdr>
        </w:div>
        <w:div w:id="2048678458">
          <w:marLeft w:val="0"/>
          <w:marRight w:val="0"/>
          <w:marTop w:val="0"/>
          <w:marBottom w:val="0"/>
          <w:divBdr>
            <w:top w:val="none" w:sz="0" w:space="0" w:color="auto"/>
            <w:left w:val="none" w:sz="0" w:space="0" w:color="auto"/>
            <w:bottom w:val="none" w:sz="0" w:space="0" w:color="auto"/>
            <w:right w:val="none" w:sz="0" w:space="0" w:color="auto"/>
          </w:divBdr>
        </w:div>
        <w:div w:id="2054188275">
          <w:marLeft w:val="0"/>
          <w:marRight w:val="0"/>
          <w:marTop w:val="0"/>
          <w:marBottom w:val="0"/>
          <w:divBdr>
            <w:top w:val="none" w:sz="0" w:space="0" w:color="auto"/>
            <w:left w:val="none" w:sz="0" w:space="0" w:color="auto"/>
            <w:bottom w:val="none" w:sz="0" w:space="0" w:color="auto"/>
            <w:right w:val="none" w:sz="0" w:space="0" w:color="auto"/>
          </w:divBdr>
        </w:div>
        <w:div w:id="2068793245">
          <w:marLeft w:val="0"/>
          <w:marRight w:val="0"/>
          <w:marTop w:val="0"/>
          <w:marBottom w:val="0"/>
          <w:divBdr>
            <w:top w:val="none" w:sz="0" w:space="0" w:color="auto"/>
            <w:left w:val="none" w:sz="0" w:space="0" w:color="auto"/>
            <w:bottom w:val="none" w:sz="0" w:space="0" w:color="auto"/>
            <w:right w:val="none" w:sz="0" w:space="0" w:color="auto"/>
          </w:divBdr>
        </w:div>
        <w:div w:id="2132898131">
          <w:marLeft w:val="0"/>
          <w:marRight w:val="0"/>
          <w:marTop w:val="0"/>
          <w:marBottom w:val="0"/>
          <w:divBdr>
            <w:top w:val="none" w:sz="0" w:space="0" w:color="auto"/>
            <w:left w:val="none" w:sz="0" w:space="0" w:color="auto"/>
            <w:bottom w:val="none" w:sz="0" w:space="0" w:color="auto"/>
            <w:right w:val="none" w:sz="0" w:space="0" w:color="auto"/>
          </w:divBdr>
        </w:div>
      </w:divsChild>
    </w:div>
    <w:div w:id="2004775986">
      <w:bodyDiv w:val="1"/>
      <w:marLeft w:val="0"/>
      <w:marRight w:val="0"/>
      <w:marTop w:val="0"/>
      <w:marBottom w:val="0"/>
      <w:divBdr>
        <w:top w:val="none" w:sz="0" w:space="0" w:color="auto"/>
        <w:left w:val="none" w:sz="0" w:space="0" w:color="auto"/>
        <w:bottom w:val="none" w:sz="0" w:space="0" w:color="auto"/>
        <w:right w:val="none" w:sz="0" w:space="0" w:color="auto"/>
      </w:divBdr>
      <w:divsChild>
        <w:div w:id="44918640">
          <w:marLeft w:val="0"/>
          <w:marRight w:val="0"/>
          <w:marTop w:val="0"/>
          <w:marBottom w:val="0"/>
          <w:divBdr>
            <w:top w:val="none" w:sz="0" w:space="0" w:color="auto"/>
            <w:left w:val="none" w:sz="0" w:space="0" w:color="auto"/>
            <w:bottom w:val="none" w:sz="0" w:space="0" w:color="auto"/>
            <w:right w:val="none" w:sz="0" w:space="0" w:color="auto"/>
          </w:divBdr>
        </w:div>
        <w:div w:id="91979440">
          <w:marLeft w:val="0"/>
          <w:marRight w:val="0"/>
          <w:marTop w:val="0"/>
          <w:marBottom w:val="0"/>
          <w:divBdr>
            <w:top w:val="none" w:sz="0" w:space="0" w:color="auto"/>
            <w:left w:val="none" w:sz="0" w:space="0" w:color="auto"/>
            <w:bottom w:val="none" w:sz="0" w:space="0" w:color="auto"/>
            <w:right w:val="none" w:sz="0" w:space="0" w:color="auto"/>
          </w:divBdr>
        </w:div>
        <w:div w:id="500699992">
          <w:marLeft w:val="0"/>
          <w:marRight w:val="0"/>
          <w:marTop w:val="0"/>
          <w:marBottom w:val="0"/>
          <w:divBdr>
            <w:top w:val="none" w:sz="0" w:space="0" w:color="auto"/>
            <w:left w:val="none" w:sz="0" w:space="0" w:color="auto"/>
            <w:bottom w:val="none" w:sz="0" w:space="0" w:color="auto"/>
            <w:right w:val="none" w:sz="0" w:space="0" w:color="auto"/>
          </w:divBdr>
        </w:div>
        <w:div w:id="510997998">
          <w:marLeft w:val="0"/>
          <w:marRight w:val="0"/>
          <w:marTop w:val="0"/>
          <w:marBottom w:val="0"/>
          <w:divBdr>
            <w:top w:val="none" w:sz="0" w:space="0" w:color="auto"/>
            <w:left w:val="none" w:sz="0" w:space="0" w:color="auto"/>
            <w:bottom w:val="none" w:sz="0" w:space="0" w:color="auto"/>
            <w:right w:val="none" w:sz="0" w:space="0" w:color="auto"/>
          </w:divBdr>
        </w:div>
        <w:div w:id="553196181">
          <w:marLeft w:val="0"/>
          <w:marRight w:val="0"/>
          <w:marTop w:val="0"/>
          <w:marBottom w:val="0"/>
          <w:divBdr>
            <w:top w:val="none" w:sz="0" w:space="0" w:color="auto"/>
            <w:left w:val="none" w:sz="0" w:space="0" w:color="auto"/>
            <w:bottom w:val="none" w:sz="0" w:space="0" w:color="auto"/>
            <w:right w:val="none" w:sz="0" w:space="0" w:color="auto"/>
          </w:divBdr>
        </w:div>
        <w:div w:id="603349060">
          <w:marLeft w:val="0"/>
          <w:marRight w:val="0"/>
          <w:marTop w:val="0"/>
          <w:marBottom w:val="0"/>
          <w:divBdr>
            <w:top w:val="none" w:sz="0" w:space="0" w:color="auto"/>
            <w:left w:val="none" w:sz="0" w:space="0" w:color="auto"/>
            <w:bottom w:val="none" w:sz="0" w:space="0" w:color="auto"/>
            <w:right w:val="none" w:sz="0" w:space="0" w:color="auto"/>
          </w:divBdr>
        </w:div>
        <w:div w:id="987979122">
          <w:marLeft w:val="0"/>
          <w:marRight w:val="0"/>
          <w:marTop w:val="0"/>
          <w:marBottom w:val="0"/>
          <w:divBdr>
            <w:top w:val="none" w:sz="0" w:space="0" w:color="auto"/>
            <w:left w:val="none" w:sz="0" w:space="0" w:color="auto"/>
            <w:bottom w:val="none" w:sz="0" w:space="0" w:color="auto"/>
            <w:right w:val="none" w:sz="0" w:space="0" w:color="auto"/>
          </w:divBdr>
        </w:div>
        <w:div w:id="1107431033">
          <w:marLeft w:val="0"/>
          <w:marRight w:val="0"/>
          <w:marTop w:val="0"/>
          <w:marBottom w:val="0"/>
          <w:divBdr>
            <w:top w:val="none" w:sz="0" w:space="0" w:color="auto"/>
            <w:left w:val="none" w:sz="0" w:space="0" w:color="auto"/>
            <w:bottom w:val="none" w:sz="0" w:space="0" w:color="auto"/>
            <w:right w:val="none" w:sz="0" w:space="0" w:color="auto"/>
          </w:divBdr>
        </w:div>
        <w:div w:id="1300378030">
          <w:marLeft w:val="0"/>
          <w:marRight w:val="0"/>
          <w:marTop w:val="0"/>
          <w:marBottom w:val="0"/>
          <w:divBdr>
            <w:top w:val="none" w:sz="0" w:space="0" w:color="auto"/>
            <w:left w:val="none" w:sz="0" w:space="0" w:color="auto"/>
            <w:bottom w:val="none" w:sz="0" w:space="0" w:color="auto"/>
            <w:right w:val="none" w:sz="0" w:space="0" w:color="auto"/>
          </w:divBdr>
        </w:div>
        <w:div w:id="1305739989">
          <w:marLeft w:val="0"/>
          <w:marRight w:val="0"/>
          <w:marTop w:val="0"/>
          <w:marBottom w:val="0"/>
          <w:divBdr>
            <w:top w:val="none" w:sz="0" w:space="0" w:color="auto"/>
            <w:left w:val="none" w:sz="0" w:space="0" w:color="auto"/>
            <w:bottom w:val="none" w:sz="0" w:space="0" w:color="auto"/>
            <w:right w:val="none" w:sz="0" w:space="0" w:color="auto"/>
          </w:divBdr>
        </w:div>
        <w:div w:id="1438790809">
          <w:marLeft w:val="0"/>
          <w:marRight w:val="0"/>
          <w:marTop w:val="0"/>
          <w:marBottom w:val="0"/>
          <w:divBdr>
            <w:top w:val="none" w:sz="0" w:space="0" w:color="auto"/>
            <w:left w:val="none" w:sz="0" w:space="0" w:color="auto"/>
            <w:bottom w:val="none" w:sz="0" w:space="0" w:color="auto"/>
            <w:right w:val="none" w:sz="0" w:space="0" w:color="auto"/>
          </w:divBdr>
        </w:div>
        <w:div w:id="1745029265">
          <w:marLeft w:val="0"/>
          <w:marRight w:val="0"/>
          <w:marTop w:val="0"/>
          <w:marBottom w:val="0"/>
          <w:divBdr>
            <w:top w:val="none" w:sz="0" w:space="0" w:color="auto"/>
            <w:left w:val="none" w:sz="0" w:space="0" w:color="auto"/>
            <w:bottom w:val="none" w:sz="0" w:space="0" w:color="auto"/>
            <w:right w:val="none" w:sz="0" w:space="0" w:color="auto"/>
          </w:divBdr>
        </w:div>
        <w:div w:id="1779451272">
          <w:marLeft w:val="0"/>
          <w:marRight w:val="0"/>
          <w:marTop w:val="0"/>
          <w:marBottom w:val="0"/>
          <w:divBdr>
            <w:top w:val="none" w:sz="0" w:space="0" w:color="auto"/>
            <w:left w:val="none" w:sz="0" w:space="0" w:color="auto"/>
            <w:bottom w:val="none" w:sz="0" w:space="0" w:color="auto"/>
            <w:right w:val="none" w:sz="0" w:space="0" w:color="auto"/>
          </w:divBdr>
          <w:divsChild>
            <w:div w:id="919482808">
              <w:marLeft w:val="-75"/>
              <w:marRight w:val="0"/>
              <w:marTop w:val="30"/>
              <w:marBottom w:val="30"/>
              <w:divBdr>
                <w:top w:val="none" w:sz="0" w:space="0" w:color="auto"/>
                <w:left w:val="none" w:sz="0" w:space="0" w:color="auto"/>
                <w:bottom w:val="none" w:sz="0" w:space="0" w:color="auto"/>
                <w:right w:val="none" w:sz="0" w:space="0" w:color="auto"/>
              </w:divBdr>
              <w:divsChild>
                <w:div w:id="64035141">
                  <w:marLeft w:val="0"/>
                  <w:marRight w:val="0"/>
                  <w:marTop w:val="0"/>
                  <w:marBottom w:val="0"/>
                  <w:divBdr>
                    <w:top w:val="none" w:sz="0" w:space="0" w:color="auto"/>
                    <w:left w:val="none" w:sz="0" w:space="0" w:color="auto"/>
                    <w:bottom w:val="none" w:sz="0" w:space="0" w:color="auto"/>
                    <w:right w:val="none" w:sz="0" w:space="0" w:color="auto"/>
                  </w:divBdr>
                  <w:divsChild>
                    <w:div w:id="545218029">
                      <w:marLeft w:val="0"/>
                      <w:marRight w:val="0"/>
                      <w:marTop w:val="0"/>
                      <w:marBottom w:val="0"/>
                      <w:divBdr>
                        <w:top w:val="none" w:sz="0" w:space="0" w:color="auto"/>
                        <w:left w:val="none" w:sz="0" w:space="0" w:color="auto"/>
                        <w:bottom w:val="none" w:sz="0" w:space="0" w:color="auto"/>
                        <w:right w:val="none" w:sz="0" w:space="0" w:color="auto"/>
                      </w:divBdr>
                    </w:div>
                  </w:divsChild>
                </w:div>
                <w:div w:id="228611672">
                  <w:marLeft w:val="0"/>
                  <w:marRight w:val="0"/>
                  <w:marTop w:val="0"/>
                  <w:marBottom w:val="0"/>
                  <w:divBdr>
                    <w:top w:val="none" w:sz="0" w:space="0" w:color="auto"/>
                    <w:left w:val="none" w:sz="0" w:space="0" w:color="auto"/>
                    <w:bottom w:val="none" w:sz="0" w:space="0" w:color="auto"/>
                    <w:right w:val="none" w:sz="0" w:space="0" w:color="auto"/>
                  </w:divBdr>
                  <w:divsChild>
                    <w:div w:id="407190841">
                      <w:marLeft w:val="0"/>
                      <w:marRight w:val="0"/>
                      <w:marTop w:val="0"/>
                      <w:marBottom w:val="0"/>
                      <w:divBdr>
                        <w:top w:val="none" w:sz="0" w:space="0" w:color="auto"/>
                        <w:left w:val="none" w:sz="0" w:space="0" w:color="auto"/>
                        <w:bottom w:val="none" w:sz="0" w:space="0" w:color="auto"/>
                        <w:right w:val="none" w:sz="0" w:space="0" w:color="auto"/>
                      </w:divBdr>
                    </w:div>
                    <w:div w:id="933703163">
                      <w:marLeft w:val="0"/>
                      <w:marRight w:val="0"/>
                      <w:marTop w:val="0"/>
                      <w:marBottom w:val="0"/>
                      <w:divBdr>
                        <w:top w:val="none" w:sz="0" w:space="0" w:color="auto"/>
                        <w:left w:val="none" w:sz="0" w:space="0" w:color="auto"/>
                        <w:bottom w:val="none" w:sz="0" w:space="0" w:color="auto"/>
                        <w:right w:val="none" w:sz="0" w:space="0" w:color="auto"/>
                      </w:divBdr>
                    </w:div>
                    <w:div w:id="1000695494">
                      <w:marLeft w:val="0"/>
                      <w:marRight w:val="0"/>
                      <w:marTop w:val="0"/>
                      <w:marBottom w:val="0"/>
                      <w:divBdr>
                        <w:top w:val="none" w:sz="0" w:space="0" w:color="auto"/>
                        <w:left w:val="none" w:sz="0" w:space="0" w:color="auto"/>
                        <w:bottom w:val="none" w:sz="0" w:space="0" w:color="auto"/>
                        <w:right w:val="none" w:sz="0" w:space="0" w:color="auto"/>
                      </w:divBdr>
                    </w:div>
                    <w:div w:id="1151217733">
                      <w:marLeft w:val="0"/>
                      <w:marRight w:val="0"/>
                      <w:marTop w:val="0"/>
                      <w:marBottom w:val="0"/>
                      <w:divBdr>
                        <w:top w:val="none" w:sz="0" w:space="0" w:color="auto"/>
                        <w:left w:val="none" w:sz="0" w:space="0" w:color="auto"/>
                        <w:bottom w:val="none" w:sz="0" w:space="0" w:color="auto"/>
                        <w:right w:val="none" w:sz="0" w:space="0" w:color="auto"/>
                      </w:divBdr>
                    </w:div>
                    <w:div w:id="1624266708">
                      <w:marLeft w:val="0"/>
                      <w:marRight w:val="0"/>
                      <w:marTop w:val="0"/>
                      <w:marBottom w:val="0"/>
                      <w:divBdr>
                        <w:top w:val="none" w:sz="0" w:space="0" w:color="auto"/>
                        <w:left w:val="none" w:sz="0" w:space="0" w:color="auto"/>
                        <w:bottom w:val="none" w:sz="0" w:space="0" w:color="auto"/>
                        <w:right w:val="none" w:sz="0" w:space="0" w:color="auto"/>
                      </w:divBdr>
                    </w:div>
                    <w:div w:id="1784611411">
                      <w:marLeft w:val="0"/>
                      <w:marRight w:val="0"/>
                      <w:marTop w:val="0"/>
                      <w:marBottom w:val="0"/>
                      <w:divBdr>
                        <w:top w:val="none" w:sz="0" w:space="0" w:color="auto"/>
                        <w:left w:val="none" w:sz="0" w:space="0" w:color="auto"/>
                        <w:bottom w:val="none" w:sz="0" w:space="0" w:color="auto"/>
                        <w:right w:val="none" w:sz="0" w:space="0" w:color="auto"/>
                      </w:divBdr>
                    </w:div>
                  </w:divsChild>
                </w:div>
                <w:div w:id="309289540">
                  <w:marLeft w:val="0"/>
                  <w:marRight w:val="0"/>
                  <w:marTop w:val="0"/>
                  <w:marBottom w:val="0"/>
                  <w:divBdr>
                    <w:top w:val="none" w:sz="0" w:space="0" w:color="auto"/>
                    <w:left w:val="none" w:sz="0" w:space="0" w:color="auto"/>
                    <w:bottom w:val="none" w:sz="0" w:space="0" w:color="auto"/>
                    <w:right w:val="none" w:sz="0" w:space="0" w:color="auto"/>
                  </w:divBdr>
                  <w:divsChild>
                    <w:div w:id="106706326">
                      <w:marLeft w:val="0"/>
                      <w:marRight w:val="0"/>
                      <w:marTop w:val="0"/>
                      <w:marBottom w:val="0"/>
                      <w:divBdr>
                        <w:top w:val="none" w:sz="0" w:space="0" w:color="auto"/>
                        <w:left w:val="none" w:sz="0" w:space="0" w:color="auto"/>
                        <w:bottom w:val="none" w:sz="0" w:space="0" w:color="auto"/>
                        <w:right w:val="none" w:sz="0" w:space="0" w:color="auto"/>
                      </w:divBdr>
                    </w:div>
                    <w:div w:id="293609245">
                      <w:marLeft w:val="0"/>
                      <w:marRight w:val="0"/>
                      <w:marTop w:val="0"/>
                      <w:marBottom w:val="0"/>
                      <w:divBdr>
                        <w:top w:val="none" w:sz="0" w:space="0" w:color="auto"/>
                        <w:left w:val="none" w:sz="0" w:space="0" w:color="auto"/>
                        <w:bottom w:val="none" w:sz="0" w:space="0" w:color="auto"/>
                        <w:right w:val="none" w:sz="0" w:space="0" w:color="auto"/>
                      </w:divBdr>
                    </w:div>
                    <w:div w:id="418185495">
                      <w:marLeft w:val="0"/>
                      <w:marRight w:val="0"/>
                      <w:marTop w:val="0"/>
                      <w:marBottom w:val="0"/>
                      <w:divBdr>
                        <w:top w:val="none" w:sz="0" w:space="0" w:color="auto"/>
                        <w:left w:val="none" w:sz="0" w:space="0" w:color="auto"/>
                        <w:bottom w:val="none" w:sz="0" w:space="0" w:color="auto"/>
                        <w:right w:val="none" w:sz="0" w:space="0" w:color="auto"/>
                      </w:divBdr>
                    </w:div>
                    <w:div w:id="724452891">
                      <w:marLeft w:val="0"/>
                      <w:marRight w:val="0"/>
                      <w:marTop w:val="0"/>
                      <w:marBottom w:val="0"/>
                      <w:divBdr>
                        <w:top w:val="none" w:sz="0" w:space="0" w:color="auto"/>
                        <w:left w:val="none" w:sz="0" w:space="0" w:color="auto"/>
                        <w:bottom w:val="none" w:sz="0" w:space="0" w:color="auto"/>
                        <w:right w:val="none" w:sz="0" w:space="0" w:color="auto"/>
                      </w:divBdr>
                    </w:div>
                    <w:div w:id="745542377">
                      <w:marLeft w:val="0"/>
                      <w:marRight w:val="0"/>
                      <w:marTop w:val="0"/>
                      <w:marBottom w:val="0"/>
                      <w:divBdr>
                        <w:top w:val="none" w:sz="0" w:space="0" w:color="auto"/>
                        <w:left w:val="none" w:sz="0" w:space="0" w:color="auto"/>
                        <w:bottom w:val="none" w:sz="0" w:space="0" w:color="auto"/>
                        <w:right w:val="none" w:sz="0" w:space="0" w:color="auto"/>
                      </w:divBdr>
                    </w:div>
                    <w:div w:id="1405376155">
                      <w:marLeft w:val="0"/>
                      <w:marRight w:val="0"/>
                      <w:marTop w:val="0"/>
                      <w:marBottom w:val="0"/>
                      <w:divBdr>
                        <w:top w:val="none" w:sz="0" w:space="0" w:color="auto"/>
                        <w:left w:val="none" w:sz="0" w:space="0" w:color="auto"/>
                        <w:bottom w:val="none" w:sz="0" w:space="0" w:color="auto"/>
                        <w:right w:val="none" w:sz="0" w:space="0" w:color="auto"/>
                      </w:divBdr>
                    </w:div>
                    <w:div w:id="1580868351">
                      <w:marLeft w:val="0"/>
                      <w:marRight w:val="0"/>
                      <w:marTop w:val="0"/>
                      <w:marBottom w:val="0"/>
                      <w:divBdr>
                        <w:top w:val="none" w:sz="0" w:space="0" w:color="auto"/>
                        <w:left w:val="none" w:sz="0" w:space="0" w:color="auto"/>
                        <w:bottom w:val="none" w:sz="0" w:space="0" w:color="auto"/>
                        <w:right w:val="none" w:sz="0" w:space="0" w:color="auto"/>
                      </w:divBdr>
                    </w:div>
                  </w:divsChild>
                </w:div>
                <w:div w:id="493683867">
                  <w:marLeft w:val="0"/>
                  <w:marRight w:val="0"/>
                  <w:marTop w:val="0"/>
                  <w:marBottom w:val="0"/>
                  <w:divBdr>
                    <w:top w:val="none" w:sz="0" w:space="0" w:color="auto"/>
                    <w:left w:val="none" w:sz="0" w:space="0" w:color="auto"/>
                    <w:bottom w:val="none" w:sz="0" w:space="0" w:color="auto"/>
                    <w:right w:val="none" w:sz="0" w:space="0" w:color="auto"/>
                  </w:divBdr>
                  <w:divsChild>
                    <w:div w:id="145706124">
                      <w:marLeft w:val="0"/>
                      <w:marRight w:val="0"/>
                      <w:marTop w:val="0"/>
                      <w:marBottom w:val="0"/>
                      <w:divBdr>
                        <w:top w:val="none" w:sz="0" w:space="0" w:color="auto"/>
                        <w:left w:val="none" w:sz="0" w:space="0" w:color="auto"/>
                        <w:bottom w:val="none" w:sz="0" w:space="0" w:color="auto"/>
                        <w:right w:val="none" w:sz="0" w:space="0" w:color="auto"/>
                      </w:divBdr>
                    </w:div>
                    <w:div w:id="596518690">
                      <w:marLeft w:val="0"/>
                      <w:marRight w:val="0"/>
                      <w:marTop w:val="0"/>
                      <w:marBottom w:val="0"/>
                      <w:divBdr>
                        <w:top w:val="none" w:sz="0" w:space="0" w:color="auto"/>
                        <w:left w:val="none" w:sz="0" w:space="0" w:color="auto"/>
                        <w:bottom w:val="none" w:sz="0" w:space="0" w:color="auto"/>
                        <w:right w:val="none" w:sz="0" w:space="0" w:color="auto"/>
                      </w:divBdr>
                    </w:div>
                    <w:div w:id="1110782416">
                      <w:marLeft w:val="0"/>
                      <w:marRight w:val="0"/>
                      <w:marTop w:val="0"/>
                      <w:marBottom w:val="0"/>
                      <w:divBdr>
                        <w:top w:val="none" w:sz="0" w:space="0" w:color="auto"/>
                        <w:left w:val="none" w:sz="0" w:space="0" w:color="auto"/>
                        <w:bottom w:val="none" w:sz="0" w:space="0" w:color="auto"/>
                        <w:right w:val="none" w:sz="0" w:space="0" w:color="auto"/>
                      </w:divBdr>
                    </w:div>
                    <w:div w:id="1155530861">
                      <w:marLeft w:val="0"/>
                      <w:marRight w:val="0"/>
                      <w:marTop w:val="0"/>
                      <w:marBottom w:val="0"/>
                      <w:divBdr>
                        <w:top w:val="none" w:sz="0" w:space="0" w:color="auto"/>
                        <w:left w:val="none" w:sz="0" w:space="0" w:color="auto"/>
                        <w:bottom w:val="none" w:sz="0" w:space="0" w:color="auto"/>
                        <w:right w:val="none" w:sz="0" w:space="0" w:color="auto"/>
                      </w:divBdr>
                    </w:div>
                    <w:div w:id="1212496461">
                      <w:marLeft w:val="0"/>
                      <w:marRight w:val="0"/>
                      <w:marTop w:val="0"/>
                      <w:marBottom w:val="0"/>
                      <w:divBdr>
                        <w:top w:val="none" w:sz="0" w:space="0" w:color="auto"/>
                        <w:left w:val="none" w:sz="0" w:space="0" w:color="auto"/>
                        <w:bottom w:val="none" w:sz="0" w:space="0" w:color="auto"/>
                        <w:right w:val="none" w:sz="0" w:space="0" w:color="auto"/>
                      </w:divBdr>
                    </w:div>
                    <w:div w:id="1315572275">
                      <w:marLeft w:val="0"/>
                      <w:marRight w:val="0"/>
                      <w:marTop w:val="0"/>
                      <w:marBottom w:val="0"/>
                      <w:divBdr>
                        <w:top w:val="none" w:sz="0" w:space="0" w:color="auto"/>
                        <w:left w:val="none" w:sz="0" w:space="0" w:color="auto"/>
                        <w:bottom w:val="none" w:sz="0" w:space="0" w:color="auto"/>
                        <w:right w:val="none" w:sz="0" w:space="0" w:color="auto"/>
                      </w:divBdr>
                    </w:div>
                    <w:div w:id="1333020720">
                      <w:marLeft w:val="0"/>
                      <w:marRight w:val="0"/>
                      <w:marTop w:val="0"/>
                      <w:marBottom w:val="0"/>
                      <w:divBdr>
                        <w:top w:val="none" w:sz="0" w:space="0" w:color="auto"/>
                        <w:left w:val="none" w:sz="0" w:space="0" w:color="auto"/>
                        <w:bottom w:val="none" w:sz="0" w:space="0" w:color="auto"/>
                        <w:right w:val="none" w:sz="0" w:space="0" w:color="auto"/>
                      </w:divBdr>
                    </w:div>
                    <w:div w:id="1528062177">
                      <w:marLeft w:val="0"/>
                      <w:marRight w:val="0"/>
                      <w:marTop w:val="0"/>
                      <w:marBottom w:val="0"/>
                      <w:divBdr>
                        <w:top w:val="none" w:sz="0" w:space="0" w:color="auto"/>
                        <w:left w:val="none" w:sz="0" w:space="0" w:color="auto"/>
                        <w:bottom w:val="none" w:sz="0" w:space="0" w:color="auto"/>
                        <w:right w:val="none" w:sz="0" w:space="0" w:color="auto"/>
                      </w:divBdr>
                    </w:div>
                  </w:divsChild>
                </w:div>
                <w:div w:id="522405880">
                  <w:marLeft w:val="0"/>
                  <w:marRight w:val="0"/>
                  <w:marTop w:val="0"/>
                  <w:marBottom w:val="0"/>
                  <w:divBdr>
                    <w:top w:val="none" w:sz="0" w:space="0" w:color="auto"/>
                    <w:left w:val="none" w:sz="0" w:space="0" w:color="auto"/>
                    <w:bottom w:val="none" w:sz="0" w:space="0" w:color="auto"/>
                    <w:right w:val="none" w:sz="0" w:space="0" w:color="auto"/>
                  </w:divBdr>
                  <w:divsChild>
                    <w:div w:id="4940514">
                      <w:marLeft w:val="0"/>
                      <w:marRight w:val="0"/>
                      <w:marTop w:val="0"/>
                      <w:marBottom w:val="0"/>
                      <w:divBdr>
                        <w:top w:val="none" w:sz="0" w:space="0" w:color="auto"/>
                        <w:left w:val="none" w:sz="0" w:space="0" w:color="auto"/>
                        <w:bottom w:val="none" w:sz="0" w:space="0" w:color="auto"/>
                        <w:right w:val="none" w:sz="0" w:space="0" w:color="auto"/>
                      </w:divBdr>
                    </w:div>
                    <w:div w:id="472210693">
                      <w:marLeft w:val="0"/>
                      <w:marRight w:val="0"/>
                      <w:marTop w:val="0"/>
                      <w:marBottom w:val="0"/>
                      <w:divBdr>
                        <w:top w:val="none" w:sz="0" w:space="0" w:color="auto"/>
                        <w:left w:val="none" w:sz="0" w:space="0" w:color="auto"/>
                        <w:bottom w:val="none" w:sz="0" w:space="0" w:color="auto"/>
                        <w:right w:val="none" w:sz="0" w:space="0" w:color="auto"/>
                      </w:divBdr>
                    </w:div>
                    <w:div w:id="602957387">
                      <w:marLeft w:val="0"/>
                      <w:marRight w:val="0"/>
                      <w:marTop w:val="0"/>
                      <w:marBottom w:val="0"/>
                      <w:divBdr>
                        <w:top w:val="none" w:sz="0" w:space="0" w:color="auto"/>
                        <w:left w:val="none" w:sz="0" w:space="0" w:color="auto"/>
                        <w:bottom w:val="none" w:sz="0" w:space="0" w:color="auto"/>
                        <w:right w:val="none" w:sz="0" w:space="0" w:color="auto"/>
                      </w:divBdr>
                    </w:div>
                    <w:div w:id="675377270">
                      <w:marLeft w:val="0"/>
                      <w:marRight w:val="0"/>
                      <w:marTop w:val="0"/>
                      <w:marBottom w:val="0"/>
                      <w:divBdr>
                        <w:top w:val="none" w:sz="0" w:space="0" w:color="auto"/>
                        <w:left w:val="none" w:sz="0" w:space="0" w:color="auto"/>
                        <w:bottom w:val="none" w:sz="0" w:space="0" w:color="auto"/>
                        <w:right w:val="none" w:sz="0" w:space="0" w:color="auto"/>
                      </w:divBdr>
                    </w:div>
                    <w:div w:id="1012144284">
                      <w:marLeft w:val="0"/>
                      <w:marRight w:val="0"/>
                      <w:marTop w:val="0"/>
                      <w:marBottom w:val="0"/>
                      <w:divBdr>
                        <w:top w:val="none" w:sz="0" w:space="0" w:color="auto"/>
                        <w:left w:val="none" w:sz="0" w:space="0" w:color="auto"/>
                        <w:bottom w:val="none" w:sz="0" w:space="0" w:color="auto"/>
                        <w:right w:val="none" w:sz="0" w:space="0" w:color="auto"/>
                      </w:divBdr>
                    </w:div>
                    <w:div w:id="1425803359">
                      <w:marLeft w:val="0"/>
                      <w:marRight w:val="0"/>
                      <w:marTop w:val="0"/>
                      <w:marBottom w:val="0"/>
                      <w:divBdr>
                        <w:top w:val="none" w:sz="0" w:space="0" w:color="auto"/>
                        <w:left w:val="none" w:sz="0" w:space="0" w:color="auto"/>
                        <w:bottom w:val="none" w:sz="0" w:space="0" w:color="auto"/>
                        <w:right w:val="none" w:sz="0" w:space="0" w:color="auto"/>
                      </w:divBdr>
                    </w:div>
                    <w:div w:id="1830560696">
                      <w:marLeft w:val="0"/>
                      <w:marRight w:val="0"/>
                      <w:marTop w:val="0"/>
                      <w:marBottom w:val="0"/>
                      <w:divBdr>
                        <w:top w:val="none" w:sz="0" w:space="0" w:color="auto"/>
                        <w:left w:val="none" w:sz="0" w:space="0" w:color="auto"/>
                        <w:bottom w:val="none" w:sz="0" w:space="0" w:color="auto"/>
                        <w:right w:val="none" w:sz="0" w:space="0" w:color="auto"/>
                      </w:divBdr>
                    </w:div>
                  </w:divsChild>
                </w:div>
                <w:div w:id="645359395">
                  <w:marLeft w:val="0"/>
                  <w:marRight w:val="0"/>
                  <w:marTop w:val="0"/>
                  <w:marBottom w:val="0"/>
                  <w:divBdr>
                    <w:top w:val="none" w:sz="0" w:space="0" w:color="auto"/>
                    <w:left w:val="none" w:sz="0" w:space="0" w:color="auto"/>
                    <w:bottom w:val="none" w:sz="0" w:space="0" w:color="auto"/>
                    <w:right w:val="none" w:sz="0" w:space="0" w:color="auto"/>
                  </w:divBdr>
                  <w:divsChild>
                    <w:div w:id="449327300">
                      <w:marLeft w:val="0"/>
                      <w:marRight w:val="0"/>
                      <w:marTop w:val="0"/>
                      <w:marBottom w:val="0"/>
                      <w:divBdr>
                        <w:top w:val="none" w:sz="0" w:space="0" w:color="auto"/>
                        <w:left w:val="none" w:sz="0" w:space="0" w:color="auto"/>
                        <w:bottom w:val="none" w:sz="0" w:space="0" w:color="auto"/>
                        <w:right w:val="none" w:sz="0" w:space="0" w:color="auto"/>
                      </w:divBdr>
                    </w:div>
                    <w:div w:id="1057633266">
                      <w:marLeft w:val="0"/>
                      <w:marRight w:val="0"/>
                      <w:marTop w:val="0"/>
                      <w:marBottom w:val="0"/>
                      <w:divBdr>
                        <w:top w:val="none" w:sz="0" w:space="0" w:color="auto"/>
                        <w:left w:val="none" w:sz="0" w:space="0" w:color="auto"/>
                        <w:bottom w:val="none" w:sz="0" w:space="0" w:color="auto"/>
                        <w:right w:val="none" w:sz="0" w:space="0" w:color="auto"/>
                      </w:divBdr>
                    </w:div>
                    <w:div w:id="1061321443">
                      <w:marLeft w:val="0"/>
                      <w:marRight w:val="0"/>
                      <w:marTop w:val="0"/>
                      <w:marBottom w:val="0"/>
                      <w:divBdr>
                        <w:top w:val="none" w:sz="0" w:space="0" w:color="auto"/>
                        <w:left w:val="none" w:sz="0" w:space="0" w:color="auto"/>
                        <w:bottom w:val="none" w:sz="0" w:space="0" w:color="auto"/>
                        <w:right w:val="none" w:sz="0" w:space="0" w:color="auto"/>
                      </w:divBdr>
                    </w:div>
                    <w:div w:id="1330937759">
                      <w:marLeft w:val="0"/>
                      <w:marRight w:val="0"/>
                      <w:marTop w:val="0"/>
                      <w:marBottom w:val="0"/>
                      <w:divBdr>
                        <w:top w:val="none" w:sz="0" w:space="0" w:color="auto"/>
                        <w:left w:val="none" w:sz="0" w:space="0" w:color="auto"/>
                        <w:bottom w:val="none" w:sz="0" w:space="0" w:color="auto"/>
                        <w:right w:val="none" w:sz="0" w:space="0" w:color="auto"/>
                      </w:divBdr>
                    </w:div>
                    <w:div w:id="1523546938">
                      <w:marLeft w:val="0"/>
                      <w:marRight w:val="0"/>
                      <w:marTop w:val="0"/>
                      <w:marBottom w:val="0"/>
                      <w:divBdr>
                        <w:top w:val="none" w:sz="0" w:space="0" w:color="auto"/>
                        <w:left w:val="none" w:sz="0" w:space="0" w:color="auto"/>
                        <w:bottom w:val="none" w:sz="0" w:space="0" w:color="auto"/>
                        <w:right w:val="none" w:sz="0" w:space="0" w:color="auto"/>
                      </w:divBdr>
                    </w:div>
                    <w:div w:id="1932469229">
                      <w:marLeft w:val="0"/>
                      <w:marRight w:val="0"/>
                      <w:marTop w:val="0"/>
                      <w:marBottom w:val="0"/>
                      <w:divBdr>
                        <w:top w:val="none" w:sz="0" w:space="0" w:color="auto"/>
                        <w:left w:val="none" w:sz="0" w:space="0" w:color="auto"/>
                        <w:bottom w:val="none" w:sz="0" w:space="0" w:color="auto"/>
                        <w:right w:val="none" w:sz="0" w:space="0" w:color="auto"/>
                      </w:divBdr>
                    </w:div>
                    <w:div w:id="1933052914">
                      <w:marLeft w:val="0"/>
                      <w:marRight w:val="0"/>
                      <w:marTop w:val="0"/>
                      <w:marBottom w:val="0"/>
                      <w:divBdr>
                        <w:top w:val="none" w:sz="0" w:space="0" w:color="auto"/>
                        <w:left w:val="none" w:sz="0" w:space="0" w:color="auto"/>
                        <w:bottom w:val="none" w:sz="0" w:space="0" w:color="auto"/>
                        <w:right w:val="none" w:sz="0" w:space="0" w:color="auto"/>
                      </w:divBdr>
                    </w:div>
                  </w:divsChild>
                </w:div>
                <w:div w:id="651756536">
                  <w:marLeft w:val="0"/>
                  <w:marRight w:val="0"/>
                  <w:marTop w:val="0"/>
                  <w:marBottom w:val="0"/>
                  <w:divBdr>
                    <w:top w:val="none" w:sz="0" w:space="0" w:color="auto"/>
                    <w:left w:val="none" w:sz="0" w:space="0" w:color="auto"/>
                    <w:bottom w:val="none" w:sz="0" w:space="0" w:color="auto"/>
                    <w:right w:val="none" w:sz="0" w:space="0" w:color="auto"/>
                  </w:divBdr>
                  <w:divsChild>
                    <w:div w:id="47462985">
                      <w:marLeft w:val="0"/>
                      <w:marRight w:val="0"/>
                      <w:marTop w:val="0"/>
                      <w:marBottom w:val="0"/>
                      <w:divBdr>
                        <w:top w:val="none" w:sz="0" w:space="0" w:color="auto"/>
                        <w:left w:val="none" w:sz="0" w:space="0" w:color="auto"/>
                        <w:bottom w:val="none" w:sz="0" w:space="0" w:color="auto"/>
                        <w:right w:val="none" w:sz="0" w:space="0" w:color="auto"/>
                      </w:divBdr>
                    </w:div>
                    <w:div w:id="284190933">
                      <w:marLeft w:val="0"/>
                      <w:marRight w:val="0"/>
                      <w:marTop w:val="0"/>
                      <w:marBottom w:val="0"/>
                      <w:divBdr>
                        <w:top w:val="none" w:sz="0" w:space="0" w:color="auto"/>
                        <w:left w:val="none" w:sz="0" w:space="0" w:color="auto"/>
                        <w:bottom w:val="none" w:sz="0" w:space="0" w:color="auto"/>
                        <w:right w:val="none" w:sz="0" w:space="0" w:color="auto"/>
                      </w:divBdr>
                    </w:div>
                    <w:div w:id="714084635">
                      <w:marLeft w:val="0"/>
                      <w:marRight w:val="0"/>
                      <w:marTop w:val="0"/>
                      <w:marBottom w:val="0"/>
                      <w:divBdr>
                        <w:top w:val="none" w:sz="0" w:space="0" w:color="auto"/>
                        <w:left w:val="none" w:sz="0" w:space="0" w:color="auto"/>
                        <w:bottom w:val="none" w:sz="0" w:space="0" w:color="auto"/>
                        <w:right w:val="none" w:sz="0" w:space="0" w:color="auto"/>
                      </w:divBdr>
                    </w:div>
                    <w:div w:id="963849456">
                      <w:marLeft w:val="0"/>
                      <w:marRight w:val="0"/>
                      <w:marTop w:val="0"/>
                      <w:marBottom w:val="0"/>
                      <w:divBdr>
                        <w:top w:val="none" w:sz="0" w:space="0" w:color="auto"/>
                        <w:left w:val="none" w:sz="0" w:space="0" w:color="auto"/>
                        <w:bottom w:val="none" w:sz="0" w:space="0" w:color="auto"/>
                        <w:right w:val="none" w:sz="0" w:space="0" w:color="auto"/>
                      </w:divBdr>
                    </w:div>
                    <w:div w:id="1251424259">
                      <w:marLeft w:val="0"/>
                      <w:marRight w:val="0"/>
                      <w:marTop w:val="0"/>
                      <w:marBottom w:val="0"/>
                      <w:divBdr>
                        <w:top w:val="none" w:sz="0" w:space="0" w:color="auto"/>
                        <w:left w:val="none" w:sz="0" w:space="0" w:color="auto"/>
                        <w:bottom w:val="none" w:sz="0" w:space="0" w:color="auto"/>
                        <w:right w:val="none" w:sz="0" w:space="0" w:color="auto"/>
                      </w:divBdr>
                    </w:div>
                    <w:div w:id="1416977193">
                      <w:marLeft w:val="0"/>
                      <w:marRight w:val="0"/>
                      <w:marTop w:val="0"/>
                      <w:marBottom w:val="0"/>
                      <w:divBdr>
                        <w:top w:val="none" w:sz="0" w:space="0" w:color="auto"/>
                        <w:left w:val="none" w:sz="0" w:space="0" w:color="auto"/>
                        <w:bottom w:val="none" w:sz="0" w:space="0" w:color="auto"/>
                        <w:right w:val="none" w:sz="0" w:space="0" w:color="auto"/>
                      </w:divBdr>
                    </w:div>
                    <w:div w:id="1450860378">
                      <w:marLeft w:val="0"/>
                      <w:marRight w:val="0"/>
                      <w:marTop w:val="0"/>
                      <w:marBottom w:val="0"/>
                      <w:divBdr>
                        <w:top w:val="none" w:sz="0" w:space="0" w:color="auto"/>
                        <w:left w:val="none" w:sz="0" w:space="0" w:color="auto"/>
                        <w:bottom w:val="none" w:sz="0" w:space="0" w:color="auto"/>
                        <w:right w:val="none" w:sz="0" w:space="0" w:color="auto"/>
                      </w:divBdr>
                    </w:div>
                    <w:div w:id="1717659983">
                      <w:marLeft w:val="0"/>
                      <w:marRight w:val="0"/>
                      <w:marTop w:val="0"/>
                      <w:marBottom w:val="0"/>
                      <w:divBdr>
                        <w:top w:val="none" w:sz="0" w:space="0" w:color="auto"/>
                        <w:left w:val="none" w:sz="0" w:space="0" w:color="auto"/>
                        <w:bottom w:val="none" w:sz="0" w:space="0" w:color="auto"/>
                        <w:right w:val="none" w:sz="0" w:space="0" w:color="auto"/>
                      </w:divBdr>
                    </w:div>
                  </w:divsChild>
                </w:div>
                <w:div w:id="664935894">
                  <w:marLeft w:val="0"/>
                  <w:marRight w:val="0"/>
                  <w:marTop w:val="0"/>
                  <w:marBottom w:val="0"/>
                  <w:divBdr>
                    <w:top w:val="none" w:sz="0" w:space="0" w:color="auto"/>
                    <w:left w:val="none" w:sz="0" w:space="0" w:color="auto"/>
                    <w:bottom w:val="none" w:sz="0" w:space="0" w:color="auto"/>
                    <w:right w:val="none" w:sz="0" w:space="0" w:color="auto"/>
                  </w:divBdr>
                  <w:divsChild>
                    <w:div w:id="248851653">
                      <w:marLeft w:val="0"/>
                      <w:marRight w:val="0"/>
                      <w:marTop w:val="0"/>
                      <w:marBottom w:val="0"/>
                      <w:divBdr>
                        <w:top w:val="none" w:sz="0" w:space="0" w:color="auto"/>
                        <w:left w:val="none" w:sz="0" w:space="0" w:color="auto"/>
                        <w:bottom w:val="none" w:sz="0" w:space="0" w:color="auto"/>
                        <w:right w:val="none" w:sz="0" w:space="0" w:color="auto"/>
                      </w:divBdr>
                    </w:div>
                    <w:div w:id="473566442">
                      <w:marLeft w:val="0"/>
                      <w:marRight w:val="0"/>
                      <w:marTop w:val="0"/>
                      <w:marBottom w:val="0"/>
                      <w:divBdr>
                        <w:top w:val="none" w:sz="0" w:space="0" w:color="auto"/>
                        <w:left w:val="none" w:sz="0" w:space="0" w:color="auto"/>
                        <w:bottom w:val="none" w:sz="0" w:space="0" w:color="auto"/>
                        <w:right w:val="none" w:sz="0" w:space="0" w:color="auto"/>
                      </w:divBdr>
                    </w:div>
                    <w:div w:id="972640474">
                      <w:marLeft w:val="0"/>
                      <w:marRight w:val="0"/>
                      <w:marTop w:val="0"/>
                      <w:marBottom w:val="0"/>
                      <w:divBdr>
                        <w:top w:val="none" w:sz="0" w:space="0" w:color="auto"/>
                        <w:left w:val="none" w:sz="0" w:space="0" w:color="auto"/>
                        <w:bottom w:val="none" w:sz="0" w:space="0" w:color="auto"/>
                        <w:right w:val="none" w:sz="0" w:space="0" w:color="auto"/>
                      </w:divBdr>
                    </w:div>
                    <w:div w:id="1129326279">
                      <w:marLeft w:val="0"/>
                      <w:marRight w:val="0"/>
                      <w:marTop w:val="0"/>
                      <w:marBottom w:val="0"/>
                      <w:divBdr>
                        <w:top w:val="none" w:sz="0" w:space="0" w:color="auto"/>
                        <w:left w:val="none" w:sz="0" w:space="0" w:color="auto"/>
                        <w:bottom w:val="none" w:sz="0" w:space="0" w:color="auto"/>
                        <w:right w:val="none" w:sz="0" w:space="0" w:color="auto"/>
                      </w:divBdr>
                    </w:div>
                    <w:div w:id="1274483128">
                      <w:marLeft w:val="0"/>
                      <w:marRight w:val="0"/>
                      <w:marTop w:val="0"/>
                      <w:marBottom w:val="0"/>
                      <w:divBdr>
                        <w:top w:val="none" w:sz="0" w:space="0" w:color="auto"/>
                        <w:left w:val="none" w:sz="0" w:space="0" w:color="auto"/>
                        <w:bottom w:val="none" w:sz="0" w:space="0" w:color="auto"/>
                        <w:right w:val="none" w:sz="0" w:space="0" w:color="auto"/>
                      </w:divBdr>
                    </w:div>
                    <w:div w:id="1286961236">
                      <w:marLeft w:val="0"/>
                      <w:marRight w:val="0"/>
                      <w:marTop w:val="0"/>
                      <w:marBottom w:val="0"/>
                      <w:divBdr>
                        <w:top w:val="none" w:sz="0" w:space="0" w:color="auto"/>
                        <w:left w:val="none" w:sz="0" w:space="0" w:color="auto"/>
                        <w:bottom w:val="none" w:sz="0" w:space="0" w:color="auto"/>
                        <w:right w:val="none" w:sz="0" w:space="0" w:color="auto"/>
                      </w:divBdr>
                    </w:div>
                    <w:div w:id="1466000802">
                      <w:marLeft w:val="0"/>
                      <w:marRight w:val="0"/>
                      <w:marTop w:val="0"/>
                      <w:marBottom w:val="0"/>
                      <w:divBdr>
                        <w:top w:val="none" w:sz="0" w:space="0" w:color="auto"/>
                        <w:left w:val="none" w:sz="0" w:space="0" w:color="auto"/>
                        <w:bottom w:val="none" w:sz="0" w:space="0" w:color="auto"/>
                        <w:right w:val="none" w:sz="0" w:space="0" w:color="auto"/>
                      </w:divBdr>
                    </w:div>
                    <w:div w:id="2058622472">
                      <w:marLeft w:val="0"/>
                      <w:marRight w:val="0"/>
                      <w:marTop w:val="0"/>
                      <w:marBottom w:val="0"/>
                      <w:divBdr>
                        <w:top w:val="none" w:sz="0" w:space="0" w:color="auto"/>
                        <w:left w:val="none" w:sz="0" w:space="0" w:color="auto"/>
                        <w:bottom w:val="none" w:sz="0" w:space="0" w:color="auto"/>
                        <w:right w:val="none" w:sz="0" w:space="0" w:color="auto"/>
                      </w:divBdr>
                    </w:div>
                  </w:divsChild>
                </w:div>
                <w:div w:id="809056042">
                  <w:marLeft w:val="0"/>
                  <w:marRight w:val="0"/>
                  <w:marTop w:val="0"/>
                  <w:marBottom w:val="0"/>
                  <w:divBdr>
                    <w:top w:val="none" w:sz="0" w:space="0" w:color="auto"/>
                    <w:left w:val="none" w:sz="0" w:space="0" w:color="auto"/>
                    <w:bottom w:val="none" w:sz="0" w:space="0" w:color="auto"/>
                    <w:right w:val="none" w:sz="0" w:space="0" w:color="auto"/>
                  </w:divBdr>
                  <w:divsChild>
                    <w:div w:id="274606635">
                      <w:marLeft w:val="0"/>
                      <w:marRight w:val="0"/>
                      <w:marTop w:val="0"/>
                      <w:marBottom w:val="0"/>
                      <w:divBdr>
                        <w:top w:val="none" w:sz="0" w:space="0" w:color="auto"/>
                        <w:left w:val="none" w:sz="0" w:space="0" w:color="auto"/>
                        <w:bottom w:val="none" w:sz="0" w:space="0" w:color="auto"/>
                        <w:right w:val="none" w:sz="0" w:space="0" w:color="auto"/>
                      </w:divBdr>
                    </w:div>
                    <w:div w:id="595672212">
                      <w:marLeft w:val="0"/>
                      <w:marRight w:val="0"/>
                      <w:marTop w:val="0"/>
                      <w:marBottom w:val="0"/>
                      <w:divBdr>
                        <w:top w:val="none" w:sz="0" w:space="0" w:color="auto"/>
                        <w:left w:val="none" w:sz="0" w:space="0" w:color="auto"/>
                        <w:bottom w:val="none" w:sz="0" w:space="0" w:color="auto"/>
                        <w:right w:val="none" w:sz="0" w:space="0" w:color="auto"/>
                      </w:divBdr>
                    </w:div>
                    <w:div w:id="774323719">
                      <w:marLeft w:val="0"/>
                      <w:marRight w:val="0"/>
                      <w:marTop w:val="0"/>
                      <w:marBottom w:val="0"/>
                      <w:divBdr>
                        <w:top w:val="none" w:sz="0" w:space="0" w:color="auto"/>
                        <w:left w:val="none" w:sz="0" w:space="0" w:color="auto"/>
                        <w:bottom w:val="none" w:sz="0" w:space="0" w:color="auto"/>
                        <w:right w:val="none" w:sz="0" w:space="0" w:color="auto"/>
                      </w:divBdr>
                    </w:div>
                    <w:div w:id="795413299">
                      <w:marLeft w:val="0"/>
                      <w:marRight w:val="0"/>
                      <w:marTop w:val="0"/>
                      <w:marBottom w:val="0"/>
                      <w:divBdr>
                        <w:top w:val="none" w:sz="0" w:space="0" w:color="auto"/>
                        <w:left w:val="none" w:sz="0" w:space="0" w:color="auto"/>
                        <w:bottom w:val="none" w:sz="0" w:space="0" w:color="auto"/>
                        <w:right w:val="none" w:sz="0" w:space="0" w:color="auto"/>
                      </w:divBdr>
                    </w:div>
                    <w:div w:id="951978059">
                      <w:marLeft w:val="0"/>
                      <w:marRight w:val="0"/>
                      <w:marTop w:val="0"/>
                      <w:marBottom w:val="0"/>
                      <w:divBdr>
                        <w:top w:val="none" w:sz="0" w:space="0" w:color="auto"/>
                        <w:left w:val="none" w:sz="0" w:space="0" w:color="auto"/>
                        <w:bottom w:val="none" w:sz="0" w:space="0" w:color="auto"/>
                        <w:right w:val="none" w:sz="0" w:space="0" w:color="auto"/>
                      </w:divBdr>
                    </w:div>
                    <w:div w:id="1021008914">
                      <w:marLeft w:val="0"/>
                      <w:marRight w:val="0"/>
                      <w:marTop w:val="0"/>
                      <w:marBottom w:val="0"/>
                      <w:divBdr>
                        <w:top w:val="none" w:sz="0" w:space="0" w:color="auto"/>
                        <w:left w:val="none" w:sz="0" w:space="0" w:color="auto"/>
                        <w:bottom w:val="none" w:sz="0" w:space="0" w:color="auto"/>
                        <w:right w:val="none" w:sz="0" w:space="0" w:color="auto"/>
                      </w:divBdr>
                    </w:div>
                    <w:div w:id="1502817385">
                      <w:marLeft w:val="0"/>
                      <w:marRight w:val="0"/>
                      <w:marTop w:val="0"/>
                      <w:marBottom w:val="0"/>
                      <w:divBdr>
                        <w:top w:val="none" w:sz="0" w:space="0" w:color="auto"/>
                        <w:left w:val="none" w:sz="0" w:space="0" w:color="auto"/>
                        <w:bottom w:val="none" w:sz="0" w:space="0" w:color="auto"/>
                        <w:right w:val="none" w:sz="0" w:space="0" w:color="auto"/>
                      </w:divBdr>
                    </w:div>
                  </w:divsChild>
                </w:div>
                <w:div w:id="1002002930">
                  <w:marLeft w:val="0"/>
                  <w:marRight w:val="0"/>
                  <w:marTop w:val="0"/>
                  <w:marBottom w:val="0"/>
                  <w:divBdr>
                    <w:top w:val="none" w:sz="0" w:space="0" w:color="auto"/>
                    <w:left w:val="none" w:sz="0" w:space="0" w:color="auto"/>
                    <w:bottom w:val="none" w:sz="0" w:space="0" w:color="auto"/>
                    <w:right w:val="none" w:sz="0" w:space="0" w:color="auto"/>
                  </w:divBdr>
                  <w:divsChild>
                    <w:div w:id="272830433">
                      <w:marLeft w:val="0"/>
                      <w:marRight w:val="0"/>
                      <w:marTop w:val="0"/>
                      <w:marBottom w:val="0"/>
                      <w:divBdr>
                        <w:top w:val="none" w:sz="0" w:space="0" w:color="auto"/>
                        <w:left w:val="none" w:sz="0" w:space="0" w:color="auto"/>
                        <w:bottom w:val="none" w:sz="0" w:space="0" w:color="auto"/>
                        <w:right w:val="none" w:sz="0" w:space="0" w:color="auto"/>
                      </w:divBdr>
                    </w:div>
                    <w:div w:id="574513894">
                      <w:marLeft w:val="0"/>
                      <w:marRight w:val="0"/>
                      <w:marTop w:val="0"/>
                      <w:marBottom w:val="0"/>
                      <w:divBdr>
                        <w:top w:val="none" w:sz="0" w:space="0" w:color="auto"/>
                        <w:left w:val="none" w:sz="0" w:space="0" w:color="auto"/>
                        <w:bottom w:val="none" w:sz="0" w:space="0" w:color="auto"/>
                        <w:right w:val="none" w:sz="0" w:space="0" w:color="auto"/>
                      </w:divBdr>
                    </w:div>
                    <w:div w:id="662856348">
                      <w:marLeft w:val="0"/>
                      <w:marRight w:val="0"/>
                      <w:marTop w:val="0"/>
                      <w:marBottom w:val="0"/>
                      <w:divBdr>
                        <w:top w:val="none" w:sz="0" w:space="0" w:color="auto"/>
                        <w:left w:val="none" w:sz="0" w:space="0" w:color="auto"/>
                        <w:bottom w:val="none" w:sz="0" w:space="0" w:color="auto"/>
                        <w:right w:val="none" w:sz="0" w:space="0" w:color="auto"/>
                      </w:divBdr>
                    </w:div>
                    <w:div w:id="696466572">
                      <w:marLeft w:val="0"/>
                      <w:marRight w:val="0"/>
                      <w:marTop w:val="0"/>
                      <w:marBottom w:val="0"/>
                      <w:divBdr>
                        <w:top w:val="none" w:sz="0" w:space="0" w:color="auto"/>
                        <w:left w:val="none" w:sz="0" w:space="0" w:color="auto"/>
                        <w:bottom w:val="none" w:sz="0" w:space="0" w:color="auto"/>
                        <w:right w:val="none" w:sz="0" w:space="0" w:color="auto"/>
                      </w:divBdr>
                    </w:div>
                    <w:div w:id="781725431">
                      <w:marLeft w:val="0"/>
                      <w:marRight w:val="0"/>
                      <w:marTop w:val="0"/>
                      <w:marBottom w:val="0"/>
                      <w:divBdr>
                        <w:top w:val="none" w:sz="0" w:space="0" w:color="auto"/>
                        <w:left w:val="none" w:sz="0" w:space="0" w:color="auto"/>
                        <w:bottom w:val="none" w:sz="0" w:space="0" w:color="auto"/>
                        <w:right w:val="none" w:sz="0" w:space="0" w:color="auto"/>
                      </w:divBdr>
                    </w:div>
                    <w:div w:id="1175270665">
                      <w:marLeft w:val="0"/>
                      <w:marRight w:val="0"/>
                      <w:marTop w:val="0"/>
                      <w:marBottom w:val="0"/>
                      <w:divBdr>
                        <w:top w:val="none" w:sz="0" w:space="0" w:color="auto"/>
                        <w:left w:val="none" w:sz="0" w:space="0" w:color="auto"/>
                        <w:bottom w:val="none" w:sz="0" w:space="0" w:color="auto"/>
                        <w:right w:val="none" w:sz="0" w:space="0" w:color="auto"/>
                      </w:divBdr>
                    </w:div>
                    <w:div w:id="1214929220">
                      <w:marLeft w:val="0"/>
                      <w:marRight w:val="0"/>
                      <w:marTop w:val="0"/>
                      <w:marBottom w:val="0"/>
                      <w:divBdr>
                        <w:top w:val="none" w:sz="0" w:space="0" w:color="auto"/>
                        <w:left w:val="none" w:sz="0" w:space="0" w:color="auto"/>
                        <w:bottom w:val="none" w:sz="0" w:space="0" w:color="auto"/>
                        <w:right w:val="none" w:sz="0" w:space="0" w:color="auto"/>
                      </w:divBdr>
                    </w:div>
                    <w:div w:id="1411349510">
                      <w:marLeft w:val="0"/>
                      <w:marRight w:val="0"/>
                      <w:marTop w:val="0"/>
                      <w:marBottom w:val="0"/>
                      <w:divBdr>
                        <w:top w:val="none" w:sz="0" w:space="0" w:color="auto"/>
                        <w:left w:val="none" w:sz="0" w:space="0" w:color="auto"/>
                        <w:bottom w:val="none" w:sz="0" w:space="0" w:color="auto"/>
                        <w:right w:val="none" w:sz="0" w:space="0" w:color="auto"/>
                      </w:divBdr>
                    </w:div>
                  </w:divsChild>
                </w:div>
                <w:div w:id="1035231354">
                  <w:marLeft w:val="0"/>
                  <w:marRight w:val="0"/>
                  <w:marTop w:val="0"/>
                  <w:marBottom w:val="0"/>
                  <w:divBdr>
                    <w:top w:val="none" w:sz="0" w:space="0" w:color="auto"/>
                    <w:left w:val="none" w:sz="0" w:space="0" w:color="auto"/>
                    <w:bottom w:val="none" w:sz="0" w:space="0" w:color="auto"/>
                    <w:right w:val="none" w:sz="0" w:space="0" w:color="auto"/>
                  </w:divBdr>
                  <w:divsChild>
                    <w:div w:id="236483237">
                      <w:marLeft w:val="0"/>
                      <w:marRight w:val="0"/>
                      <w:marTop w:val="0"/>
                      <w:marBottom w:val="0"/>
                      <w:divBdr>
                        <w:top w:val="none" w:sz="0" w:space="0" w:color="auto"/>
                        <w:left w:val="none" w:sz="0" w:space="0" w:color="auto"/>
                        <w:bottom w:val="none" w:sz="0" w:space="0" w:color="auto"/>
                        <w:right w:val="none" w:sz="0" w:space="0" w:color="auto"/>
                      </w:divBdr>
                    </w:div>
                    <w:div w:id="577905880">
                      <w:marLeft w:val="0"/>
                      <w:marRight w:val="0"/>
                      <w:marTop w:val="0"/>
                      <w:marBottom w:val="0"/>
                      <w:divBdr>
                        <w:top w:val="none" w:sz="0" w:space="0" w:color="auto"/>
                        <w:left w:val="none" w:sz="0" w:space="0" w:color="auto"/>
                        <w:bottom w:val="none" w:sz="0" w:space="0" w:color="auto"/>
                        <w:right w:val="none" w:sz="0" w:space="0" w:color="auto"/>
                      </w:divBdr>
                    </w:div>
                    <w:div w:id="707333871">
                      <w:marLeft w:val="0"/>
                      <w:marRight w:val="0"/>
                      <w:marTop w:val="0"/>
                      <w:marBottom w:val="0"/>
                      <w:divBdr>
                        <w:top w:val="none" w:sz="0" w:space="0" w:color="auto"/>
                        <w:left w:val="none" w:sz="0" w:space="0" w:color="auto"/>
                        <w:bottom w:val="none" w:sz="0" w:space="0" w:color="auto"/>
                        <w:right w:val="none" w:sz="0" w:space="0" w:color="auto"/>
                      </w:divBdr>
                    </w:div>
                    <w:div w:id="1251504234">
                      <w:marLeft w:val="0"/>
                      <w:marRight w:val="0"/>
                      <w:marTop w:val="0"/>
                      <w:marBottom w:val="0"/>
                      <w:divBdr>
                        <w:top w:val="none" w:sz="0" w:space="0" w:color="auto"/>
                        <w:left w:val="none" w:sz="0" w:space="0" w:color="auto"/>
                        <w:bottom w:val="none" w:sz="0" w:space="0" w:color="auto"/>
                        <w:right w:val="none" w:sz="0" w:space="0" w:color="auto"/>
                      </w:divBdr>
                    </w:div>
                    <w:div w:id="1863977779">
                      <w:marLeft w:val="0"/>
                      <w:marRight w:val="0"/>
                      <w:marTop w:val="0"/>
                      <w:marBottom w:val="0"/>
                      <w:divBdr>
                        <w:top w:val="none" w:sz="0" w:space="0" w:color="auto"/>
                        <w:left w:val="none" w:sz="0" w:space="0" w:color="auto"/>
                        <w:bottom w:val="none" w:sz="0" w:space="0" w:color="auto"/>
                        <w:right w:val="none" w:sz="0" w:space="0" w:color="auto"/>
                      </w:divBdr>
                    </w:div>
                    <w:div w:id="2054039515">
                      <w:marLeft w:val="0"/>
                      <w:marRight w:val="0"/>
                      <w:marTop w:val="0"/>
                      <w:marBottom w:val="0"/>
                      <w:divBdr>
                        <w:top w:val="none" w:sz="0" w:space="0" w:color="auto"/>
                        <w:left w:val="none" w:sz="0" w:space="0" w:color="auto"/>
                        <w:bottom w:val="none" w:sz="0" w:space="0" w:color="auto"/>
                        <w:right w:val="none" w:sz="0" w:space="0" w:color="auto"/>
                      </w:divBdr>
                    </w:div>
                  </w:divsChild>
                </w:div>
                <w:div w:id="1105658981">
                  <w:marLeft w:val="0"/>
                  <w:marRight w:val="0"/>
                  <w:marTop w:val="0"/>
                  <w:marBottom w:val="0"/>
                  <w:divBdr>
                    <w:top w:val="none" w:sz="0" w:space="0" w:color="auto"/>
                    <w:left w:val="none" w:sz="0" w:space="0" w:color="auto"/>
                    <w:bottom w:val="none" w:sz="0" w:space="0" w:color="auto"/>
                    <w:right w:val="none" w:sz="0" w:space="0" w:color="auto"/>
                  </w:divBdr>
                  <w:divsChild>
                    <w:div w:id="259605731">
                      <w:marLeft w:val="0"/>
                      <w:marRight w:val="0"/>
                      <w:marTop w:val="0"/>
                      <w:marBottom w:val="0"/>
                      <w:divBdr>
                        <w:top w:val="none" w:sz="0" w:space="0" w:color="auto"/>
                        <w:left w:val="none" w:sz="0" w:space="0" w:color="auto"/>
                        <w:bottom w:val="none" w:sz="0" w:space="0" w:color="auto"/>
                        <w:right w:val="none" w:sz="0" w:space="0" w:color="auto"/>
                      </w:divBdr>
                    </w:div>
                  </w:divsChild>
                </w:div>
                <w:div w:id="1227229445">
                  <w:marLeft w:val="0"/>
                  <w:marRight w:val="0"/>
                  <w:marTop w:val="0"/>
                  <w:marBottom w:val="0"/>
                  <w:divBdr>
                    <w:top w:val="none" w:sz="0" w:space="0" w:color="auto"/>
                    <w:left w:val="none" w:sz="0" w:space="0" w:color="auto"/>
                    <w:bottom w:val="none" w:sz="0" w:space="0" w:color="auto"/>
                    <w:right w:val="none" w:sz="0" w:space="0" w:color="auto"/>
                  </w:divBdr>
                  <w:divsChild>
                    <w:div w:id="97681206">
                      <w:marLeft w:val="0"/>
                      <w:marRight w:val="0"/>
                      <w:marTop w:val="0"/>
                      <w:marBottom w:val="0"/>
                      <w:divBdr>
                        <w:top w:val="none" w:sz="0" w:space="0" w:color="auto"/>
                        <w:left w:val="none" w:sz="0" w:space="0" w:color="auto"/>
                        <w:bottom w:val="none" w:sz="0" w:space="0" w:color="auto"/>
                        <w:right w:val="none" w:sz="0" w:space="0" w:color="auto"/>
                      </w:divBdr>
                    </w:div>
                    <w:div w:id="146211918">
                      <w:marLeft w:val="0"/>
                      <w:marRight w:val="0"/>
                      <w:marTop w:val="0"/>
                      <w:marBottom w:val="0"/>
                      <w:divBdr>
                        <w:top w:val="none" w:sz="0" w:space="0" w:color="auto"/>
                        <w:left w:val="none" w:sz="0" w:space="0" w:color="auto"/>
                        <w:bottom w:val="none" w:sz="0" w:space="0" w:color="auto"/>
                        <w:right w:val="none" w:sz="0" w:space="0" w:color="auto"/>
                      </w:divBdr>
                    </w:div>
                    <w:div w:id="364520056">
                      <w:marLeft w:val="0"/>
                      <w:marRight w:val="0"/>
                      <w:marTop w:val="0"/>
                      <w:marBottom w:val="0"/>
                      <w:divBdr>
                        <w:top w:val="none" w:sz="0" w:space="0" w:color="auto"/>
                        <w:left w:val="none" w:sz="0" w:space="0" w:color="auto"/>
                        <w:bottom w:val="none" w:sz="0" w:space="0" w:color="auto"/>
                        <w:right w:val="none" w:sz="0" w:space="0" w:color="auto"/>
                      </w:divBdr>
                    </w:div>
                    <w:div w:id="604070422">
                      <w:marLeft w:val="0"/>
                      <w:marRight w:val="0"/>
                      <w:marTop w:val="0"/>
                      <w:marBottom w:val="0"/>
                      <w:divBdr>
                        <w:top w:val="none" w:sz="0" w:space="0" w:color="auto"/>
                        <w:left w:val="none" w:sz="0" w:space="0" w:color="auto"/>
                        <w:bottom w:val="none" w:sz="0" w:space="0" w:color="auto"/>
                        <w:right w:val="none" w:sz="0" w:space="0" w:color="auto"/>
                      </w:divBdr>
                    </w:div>
                    <w:div w:id="799111392">
                      <w:marLeft w:val="0"/>
                      <w:marRight w:val="0"/>
                      <w:marTop w:val="0"/>
                      <w:marBottom w:val="0"/>
                      <w:divBdr>
                        <w:top w:val="none" w:sz="0" w:space="0" w:color="auto"/>
                        <w:left w:val="none" w:sz="0" w:space="0" w:color="auto"/>
                        <w:bottom w:val="none" w:sz="0" w:space="0" w:color="auto"/>
                        <w:right w:val="none" w:sz="0" w:space="0" w:color="auto"/>
                      </w:divBdr>
                    </w:div>
                    <w:div w:id="1024985772">
                      <w:marLeft w:val="0"/>
                      <w:marRight w:val="0"/>
                      <w:marTop w:val="0"/>
                      <w:marBottom w:val="0"/>
                      <w:divBdr>
                        <w:top w:val="none" w:sz="0" w:space="0" w:color="auto"/>
                        <w:left w:val="none" w:sz="0" w:space="0" w:color="auto"/>
                        <w:bottom w:val="none" w:sz="0" w:space="0" w:color="auto"/>
                        <w:right w:val="none" w:sz="0" w:space="0" w:color="auto"/>
                      </w:divBdr>
                    </w:div>
                    <w:div w:id="1813207810">
                      <w:marLeft w:val="0"/>
                      <w:marRight w:val="0"/>
                      <w:marTop w:val="0"/>
                      <w:marBottom w:val="0"/>
                      <w:divBdr>
                        <w:top w:val="none" w:sz="0" w:space="0" w:color="auto"/>
                        <w:left w:val="none" w:sz="0" w:space="0" w:color="auto"/>
                        <w:bottom w:val="none" w:sz="0" w:space="0" w:color="auto"/>
                        <w:right w:val="none" w:sz="0" w:space="0" w:color="auto"/>
                      </w:divBdr>
                    </w:div>
                    <w:div w:id="1831601302">
                      <w:marLeft w:val="0"/>
                      <w:marRight w:val="0"/>
                      <w:marTop w:val="0"/>
                      <w:marBottom w:val="0"/>
                      <w:divBdr>
                        <w:top w:val="none" w:sz="0" w:space="0" w:color="auto"/>
                        <w:left w:val="none" w:sz="0" w:space="0" w:color="auto"/>
                        <w:bottom w:val="none" w:sz="0" w:space="0" w:color="auto"/>
                        <w:right w:val="none" w:sz="0" w:space="0" w:color="auto"/>
                      </w:divBdr>
                    </w:div>
                    <w:div w:id="1834179958">
                      <w:marLeft w:val="0"/>
                      <w:marRight w:val="0"/>
                      <w:marTop w:val="0"/>
                      <w:marBottom w:val="0"/>
                      <w:divBdr>
                        <w:top w:val="none" w:sz="0" w:space="0" w:color="auto"/>
                        <w:left w:val="none" w:sz="0" w:space="0" w:color="auto"/>
                        <w:bottom w:val="none" w:sz="0" w:space="0" w:color="auto"/>
                        <w:right w:val="none" w:sz="0" w:space="0" w:color="auto"/>
                      </w:divBdr>
                    </w:div>
                    <w:div w:id="1835605296">
                      <w:marLeft w:val="0"/>
                      <w:marRight w:val="0"/>
                      <w:marTop w:val="0"/>
                      <w:marBottom w:val="0"/>
                      <w:divBdr>
                        <w:top w:val="none" w:sz="0" w:space="0" w:color="auto"/>
                        <w:left w:val="none" w:sz="0" w:space="0" w:color="auto"/>
                        <w:bottom w:val="none" w:sz="0" w:space="0" w:color="auto"/>
                        <w:right w:val="none" w:sz="0" w:space="0" w:color="auto"/>
                      </w:divBdr>
                    </w:div>
                  </w:divsChild>
                </w:div>
                <w:div w:id="1267611958">
                  <w:marLeft w:val="0"/>
                  <w:marRight w:val="0"/>
                  <w:marTop w:val="0"/>
                  <w:marBottom w:val="0"/>
                  <w:divBdr>
                    <w:top w:val="none" w:sz="0" w:space="0" w:color="auto"/>
                    <w:left w:val="none" w:sz="0" w:space="0" w:color="auto"/>
                    <w:bottom w:val="none" w:sz="0" w:space="0" w:color="auto"/>
                    <w:right w:val="none" w:sz="0" w:space="0" w:color="auto"/>
                  </w:divBdr>
                  <w:divsChild>
                    <w:div w:id="154491675">
                      <w:marLeft w:val="0"/>
                      <w:marRight w:val="0"/>
                      <w:marTop w:val="0"/>
                      <w:marBottom w:val="0"/>
                      <w:divBdr>
                        <w:top w:val="none" w:sz="0" w:space="0" w:color="auto"/>
                        <w:left w:val="none" w:sz="0" w:space="0" w:color="auto"/>
                        <w:bottom w:val="none" w:sz="0" w:space="0" w:color="auto"/>
                        <w:right w:val="none" w:sz="0" w:space="0" w:color="auto"/>
                      </w:divBdr>
                    </w:div>
                    <w:div w:id="392000145">
                      <w:marLeft w:val="0"/>
                      <w:marRight w:val="0"/>
                      <w:marTop w:val="0"/>
                      <w:marBottom w:val="0"/>
                      <w:divBdr>
                        <w:top w:val="none" w:sz="0" w:space="0" w:color="auto"/>
                        <w:left w:val="none" w:sz="0" w:space="0" w:color="auto"/>
                        <w:bottom w:val="none" w:sz="0" w:space="0" w:color="auto"/>
                        <w:right w:val="none" w:sz="0" w:space="0" w:color="auto"/>
                      </w:divBdr>
                    </w:div>
                    <w:div w:id="725765296">
                      <w:marLeft w:val="0"/>
                      <w:marRight w:val="0"/>
                      <w:marTop w:val="0"/>
                      <w:marBottom w:val="0"/>
                      <w:divBdr>
                        <w:top w:val="none" w:sz="0" w:space="0" w:color="auto"/>
                        <w:left w:val="none" w:sz="0" w:space="0" w:color="auto"/>
                        <w:bottom w:val="none" w:sz="0" w:space="0" w:color="auto"/>
                        <w:right w:val="none" w:sz="0" w:space="0" w:color="auto"/>
                      </w:divBdr>
                    </w:div>
                    <w:div w:id="1328749920">
                      <w:marLeft w:val="0"/>
                      <w:marRight w:val="0"/>
                      <w:marTop w:val="0"/>
                      <w:marBottom w:val="0"/>
                      <w:divBdr>
                        <w:top w:val="none" w:sz="0" w:space="0" w:color="auto"/>
                        <w:left w:val="none" w:sz="0" w:space="0" w:color="auto"/>
                        <w:bottom w:val="none" w:sz="0" w:space="0" w:color="auto"/>
                        <w:right w:val="none" w:sz="0" w:space="0" w:color="auto"/>
                      </w:divBdr>
                    </w:div>
                    <w:div w:id="1470629306">
                      <w:marLeft w:val="0"/>
                      <w:marRight w:val="0"/>
                      <w:marTop w:val="0"/>
                      <w:marBottom w:val="0"/>
                      <w:divBdr>
                        <w:top w:val="none" w:sz="0" w:space="0" w:color="auto"/>
                        <w:left w:val="none" w:sz="0" w:space="0" w:color="auto"/>
                        <w:bottom w:val="none" w:sz="0" w:space="0" w:color="auto"/>
                        <w:right w:val="none" w:sz="0" w:space="0" w:color="auto"/>
                      </w:divBdr>
                    </w:div>
                    <w:div w:id="1532181223">
                      <w:marLeft w:val="0"/>
                      <w:marRight w:val="0"/>
                      <w:marTop w:val="0"/>
                      <w:marBottom w:val="0"/>
                      <w:divBdr>
                        <w:top w:val="none" w:sz="0" w:space="0" w:color="auto"/>
                        <w:left w:val="none" w:sz="0" w:space="0" w:color="auto"/>
                        <w:bottom w:val="none" w:sz="0" w:space="0" w:color="auto"/>
                        <w:right w:val="none" w:sz="0" w:space="0" w:color="auto"/>
                      </w:divBdr>
                    </w:div>
                    <w:div w:id="1645117121">
                      <w:marLeft w:val="0"/>
                      <w:marRight w:val="0"/>
                      <w:marTop w:val="0"/>
                      <w:marBottom w:val="0"/>
                      <w:divBdr>
                        <w:top w:val="none" w:sz="0" w:space="0" w:color="auto"/>
                        <w:left w:val="none" w:sz="0" w:space="0" w:color="auto"/>
                        <w:bottom w:val="none" w:sz="0" w:space="0" w:color="auto"/>
                        <w:right w:val="none" w:sz="0" w:space="0" w:color="auto"/>
                      </w:divBdr>
                    </w:div>
                  </w:divsChild>
                </w:div>
                <w:div w:id="1299411508">
                  <w:marLeft w:val="0"/>
                  <w:marRight w:val="0"/>
                  <w:marTop w:val="0"/>
                  <w:marBottom w:val="0"/>
                  <w:divBdr>
                    <w:top w:val="none" w:sz="0" w:space="0" w:color="auto"/>
                    <w:left w:val="none" w:sz="0" w:space="0" w:color="auto"/>
                    <w:bottom w:val="none" w:sz="0" w:space="0" w:color="auto"/>
                    <w:right w:val="none" w:sz="0" w:space="0" w:color="auto"/>
                  </w:divBdr>
                  <w:divsChild>
                    <w:div w:id="120418214">
                      <w:marLeft w:val="0"/>
                      <w:marRight w:val="0"/>
                      <w:marTop w:val="0"/>
                      <w:marBottom w:val="0"/>
                      <w:divBdr>
                        <w:top w:val="none" w:sz="0" w:space="0" w:color="auto"/>
                        <w:left w:val="none" w:sz="0" w:space="0" w:color="auto"/>
                        <w:bottom w:val="none" w:sz="0" w:space="0" w:color="auto"/>
                        <w:right w:val="none" w:sz="0" w:space="0" w:color="auto"/>
                      </w:divBdr>
                    </w:div>
                    <w:div w:id="533276530">
                      <w:marLeft w:val="0"/>
                      <w:marRight w:val="0"/>
                      <w:marTop w:val="0"/>
                      <w:marBottom w:val="0"/>
                      <w:divBdr>
                        <w:top w:val="none" w:sz="0" w:space="0" w:color="auto"/>
                        <w:left w:val="none" w:sz="0" w:space="0" w:color="auto"/>
                        <w:bottom w:val="none" w:sz="0" w:space="0" w:color="auto"/>
                        <w:right w:val="none" w:sz="0" w:space="0" w:color="auto"/>
                      </w:divBdr>
                    </w:div>
                    <w:div w:id="983269332">
                      <w:marLeft w:val="0"/>
                      <w:marRight w:val="0"/>
                      <w:marTop w:val="0"/>
                      <w:marBottom w:val="0"/>
                      <w:divBdr>
                        <w:top w:val="none" w:sz="0" w:space="0" w:color="auto"/>
                        <w:left w:val="none" w:sz="0" w:space="0" w:color="auto"/>
                        <w:bottom w:val="none" w:sz="0" w:space="0" w:color="auto"/>
                        <w:right w:val="none" w:sz="0" w:space="0" w:color="auto"/>
                      </w:divBdr>
                    </w:div>
                    <w:div w:id="1262451275">
                      <w:marLeft w:val="0"/>
                      <w:marRight w:val="0"/>
                      <w:marTop w:val="0"/>
                      <w:marBottom w:val="0"/>
                      <w:divBdr>
                        <w:top w:val="none" w:sz="0" w:space="0" w:color="auto"/>
                        <w:left w:val="none" w:sz="0" w:space="0" w:color="auto"/>
                        <w:bottom w:val="none" w:sz="0" w:space="0" w:color="auto"/>
                        <w:right w:val="none" w:sz="0" w:space="0" w:color="auto"/>
                      </w:divBdr>
                    </w:div>
                    <w:div w:id="1626808743">
                      <w:marLeft w:val="0"/>
                      <w:marRight w:val="0"/>
                      <w:marTop w:val="0"/>
                      <w:marBottom w:val="0"/>
                      <w:divBdr>
                        <w:top w:val="none" w:sz="0" w:space="0" w:color="auto"/>
                        <w:left w:val="none" w:sz="0" w:space="0" w:color="auto"/>
                        <w:bottom w:val="none" w:sz="0" w:space="0" w:color="auto"/>
                        <w:right w:val="none" w:sz="0" w:space="0" w:color="auto"/>
                      </w:divBdr>
                    </w:div>
                  </w:divsChild>
                </w:div>
                <w:div w:id="1517378324">
                  <w:marLeft w:val="0"/>
                  <w:marRight w:val="0"/>
                  <w:marTop w:val="0"/>
                  <w:marBottom w:val="0"/>
                  <w:divBdr>
                    <w:top w:val="none" w:sz="0" w:space="0" w:color="auto"/>
                    <w:left w:val="none" w:sz="0" w:space="0" w:color="auto"/>
                    <w:bottom w:val="none" w:sz="0" w:space="0" w:color="auto"/>
                    <w:right w:val="none" w:sz="0" w:space="0" w:color="auto"/>
                  </w:divBdr>
                  <w:divsChild>
                    <w:div w:id="55133204">
                      <w:marLeft w:val="0"/>
                      <w:marRight w:val="0"/>
                      <w:marTop w:val="0"/>
                      <w:marBottom w:val="0"/>
                      <w:divBdr>
                        <w:top w:val="none" w:sz="0" w:space="0" w:color="auto"/>
                        <w:left w:val="none" w:sz="0" w:space="0" w:color="auto"/>
                        <w:bottom w:val="none" w:sz="0" w:space="0" w:color="auto"/>
                        <w:right w:val="none" w:sz="0" w:space="0" w:color="auto"/>
                      </w:divBdr>
                    </w:div>
                    <w:div w:id="776868157">
                      <w:marLeft w:val="0"/>
                      <w:marRight w:val="0"/>
                      <w:marTop w:val="0"/>
                      <w:marBottom w:val="0"/>
                      <w:divBdr>
                        <w:top w:val="none" w:sz="0" w:space="0" w:color="auto"/>
                        <w:left w:val="none" w:sz="0" w:space="0" w:color="auto"/>
                        <w:bottom w:val="none" w:sz="0" w:space="0" w:color="auto"/>
                        <w:right w:val="none" w:sz="0" w:space="0" w:color="auto"/>
                      </w:divBdr>
                    </w:div>
                    <w:div w:id="1360007282">
                      <w:marLeft w:val="0"/>
                      <w:marRight w:val="0"/>
                      <w:marTop w:val="0"/>
                      <w:marBottom w:val="0"/>
                      <w:divBdr>
                        <w:top w:val="none" w:sz="0" w:space="0" w:color="auto"/>
                        <w:left w:val="none" w:sz="0" w:space="0" w:color="auto"/>
                        <w:bottom w:val="none" w:sz="0" w:space="0" w:color="auto"/>
                        <w:right w:val="none" w:sz="0" w:space="0" w:color="auto"/>
                      </w:divBdr>
                    </w:div>
                    <w:div w:id="1639653641">
                      <w:marLeft w:val="0"/>
                      <w:marRight w:val="0"/>
                      <w:marTop w:val="0"/>
                      <w:marBottom w:val="0"/>
                      <w:divBdr>
                        <w:top w:val="none" w:sz="0" w:space="0" w:color="auto"/>
                        <w:left w:val="none" w:sz="0" w:space="0" w:color="auto"/>
                        <w:bottom w:val="none" w:sz="0" w:space="0" w:color="auto"/>
                        <w:right w:val="none" w:sz="0" w:space="0" w:color="auto"/>
                      </w:divBdr>
                    </w:div>
                    <w:div w:id="1666282928">
                      <w:marLeft w:val="0"/>
                      <w:marRight w:val="0"/>
                      <w:marTop w:val="0"/>
                      <w:marBottom w:val="0"/>
                      <w:divBdr>
                        <w:top w:val="none" w:sz="0" w:space="0" w:color="auto"/>
                        <w:left w:val="none" w:sz="0" w:space="0" w:color="auto"/>
                        <w:bottom w:val="none" w:sz="0" w:space="0" w:color="auto"/>
                        <w:right w:val="none" w:sz="0" w:space="0" w:color="auto"/>
                      </w:divBdr>
                    </w:div>
                    <w:div w:id="1767270406">
                      <w:marLeft w:val="0"/>
                      <w:marRight w:val="0"/>
                      <w:marTop w:val="0"/>
                      <w:marBottom w:val="0"/>
                      <w:divBdr>
                        <w:top w:val="none" w:sz="0" w:space="0" w:color="auto"/>
                        <w:left w:val="none" w:sz="0" w:space="0" w:color="auto"/>
                        <w:bottom w:val="none" w:sz="0" w:space="0" w:color="auto"/>
                        <w:right w:val="none" w:sz="0" w:space="0" w:color="auto"/>
                      </w:divBdr>
                    </w:div>
                  </w:divsChild>
                </w:div>
                <w:div w:id="1810320308">
                  <w:marLeft w:val="0"/>
                  <w:marRight w:val="0"/>
                  <w:marTop w:val="0"/>
                  <w:marBottom w:val="0"/>
                  <w:divBdr>
                    <w:top w:val="none" w:sz="0" w:space="0" w:color="auto"/>
                    <w:left w:val="none" w:sz="0" w:space="0" w:color="auto"/>
                    <w:bottom w:val="none" w:sz="0" w:space="0" w:color="auto"/>
                    <w:right w:val="none" w:sz="0" w:space="0" w:color="auto"/>
                  </w:divBdr>
                  <w:divsChild>
                    <w:div w:id="59449883">
                      <w:marLeft w:val="0"/>
                      <w:marRight w:val="0"/>
                      <w:marTop w:val="0"/>
                      <w:marBottom w:val="0"/>
                      <w:divBdr>
                        <w:top w:val="none" w:sz="0" w:space="0" w:color="auto"/>
                        <w:left w:val="none" w:sz="0" w:space="0" w:color="auto"/>
                        <w:bottom w:val="none" w:sz="0" w:space="0" w:color="auto"/>
                        <w:right w:val="none" w:sz="0" w:space="0" w:color="auto"/>
                      </w:divBdr>
                    </w:div>
                    <w:div w:id="109781201">
                      <w:marLeft w:val="0"/>
                      <w:marRight w:val="0"/>
                      <w:marTop w:val="0"/>
                      <w:marBottom w:val="0"/>
                      <w:divBdr>
                        <w:top w:val="none" w:sz="0" w:space="0" w:color="auto"/>
                        <w:left w:val="none" w:sz="0" w:space="0" w:color="auto"/>
                        <w:bottom w:val="none" w:sz="0" w:space="0" w:color="auto"/>
                        <w:right w:val="none" w:sz="0" w:space="0" w:color="auto"/>
                      </w:divBdr>
                    </w:div>
                    <w:div w:id="148596831">
                      <w:marLeft w:val="0"/>
                      <w:marRight w:val="0"/>
                      <w:marTop w:val="0"/>
                      <w:marBottom w:val="0"/>
                      <w:divBdr>
                        <w:top w:val="none" w:sz="0" w:space="0" w:color="auto"/>
                        <w:left w:val="none" w:sz="0" w:space="0" w:color="auto"/>
                        <w:bottom w:val="none" w:sz="0" w:space="0" w:color="auto"/>
                        <w:right w:val="none" w:sz="0" w:space="0" w:color="auto"/>
                      </w:divBdr>
                    </w:div>
                    <w:div w:id="240145316">
                      <w:marLeft w:val="0"/>
                      <w:marRight w:val="0"/>
                      <w:marTop w:val="0"/>
                      <w:marBottom w:val="0"/>
                      <w:divBdr>
                        <w:top w:val="none" w:sz="0" w:space="0" w:color="auto"/>
                        <w:left w:val="none" w:sz="0" w:space="0" w:color="auto"/>
                        <w:bottom w:val="none" w:sz="0" w:space="0" w:color="auto"/>
                        <w:right w:val="none" w:sz="0" w:space="0" w:color="auto"/>
                      </w:divBdr>
                    </w:div>
                    <w:div w:id="462112757">
                      <w:marLeft w:val="0"/>
                      <w:marRight w:val="0"/>
                      <w:marTop w:val="0"/>
                      <w:marBottom w:val="0"/>
                      <w:divBdr>
                        <w:top w:val="none" w:sz="0" w:space="0" w:color="auto"/>
                        <w:left w:val="none" w:sz="0" w:space="0" w:color="auto"/>
                        <w:bottom w:val="none" w:sz="0" w:space="0" w:color="auto"/>
                        <w:right w:val="none" w:sz="0" w:space="0" w:color="auto"/>
                      </w:divBdr>
                    </w:div>
                    <w:div w:id="625310937">
                      <w:marLeft w:val="0"/>
                      <w:marRight w:val="0"/>
                      <w:marTop w:val="0"/>
                      <w:marBottom w:val="0"/>
                      <w:divBdr>
                        <w:top w:val="none" w:sz="0" w:space="0" w:color="auto"/>
                        <w:left w:val="none" w:sz="0" w:space="0" w:color="auto"/>
                        <w:bottom w:val="none" w:sz="0" w:space="0" w:color="auto"/>
                        <w:right w:val="none" w:sz="0" w:space="0" w:color="auto"/>
                      </w:divBdr>
                    </w:div>
                    <w:div w:id="752943389">
                      <w:marLeft w:val="0"/>
                      <w:marRight w:val="0"/>
                      <w:marTop w:val="0"/>
                      <w:marBottom w:val="0"/>
                      <w:divBdr>
                        <w:top w:val="none" w:sz="0" w:space="0" w:color="auto"/>
                        <w:left w:val="none" w:sz="0" w:space="0" w:color="auto"/>
                        <w:bottom w:val="none" w:sz="0" w:space="0" w:color="auto"/>
                        <w:right w:val="none" w:sz="0" w:space="0" w:color="auto"/>
                      </w:divBdr>
                    </w:div>
                    <w:div w:id="850215828">
                      <w:marLeft w:val="0"/>
                      <w:marRight w:val="0"/>
                      <w:marTop w:val="0"/>
                      <w:marBottom w:val="0"/>
                      <w:divBdr>
                        <w:top w:val="none" w:sz="0" w:space="0" w:color="auto"/>
                        <w:left w:val="none" w:sz="0" w:space="0" w:color="auto"/>
                        <w:bottom w:val="none" w:sz="0" w:space="0" w:color="auto"/>
                        <w:right w:val="none" w:sz="0" w:space="0" w:color="auto"/>
                      </w:divBdr>
                    </w:div>
                    <w:div w:id="1531528240">
                      <w:marLeft w:val="0"/>
                      <w:marRight w:val="0"/>
                      <w:marTop w:val="0"/>
                      <w:marBottom w:val="0"/>
                      <w:divBdr>
                        <w:top w:val="none" w:sz="0" w:space="0" w:color="auto"/>
                        <w:left w:val="none" w:sz="0" w:space="0" w:color="auto"/>
                        <w:bottom w:val="none" w:sz="0" w:space="0" w:color="auto"/>
                        <w:right w:val="none" w:sz="0" w:space="0" w:color="auto"/>
                      </w:divBdr>
                    </w:div>
                    <w:div w:id="2041130224">
                      <w:marLeft w:val="0"/>
                      <w:marRight w:val="0"/>
                      <w:marTop w:val="0"/>
                      <w:marBottom w:val="0"/>
                      <w:divBdr>
                        <w:top w:val="none" w:sz="0" w:space="0" w:color="auto"/>
                        <w:left w:val="none" w:sz="0" w:space="0" w:color="auto"/>
                        <w:bottom w:val="none" w:sz="0" w:space="0" w:color="auto"/>
                        <w:right w:val="none" w:sz="0" w:space="0" w:color="auto"/>
                      </w:divBdr>
                    </w:div>
                  </w:divsChild>
                </w:div>
                <w:div w:id="1818690468">
                  <w:marLeft w:val="0"/>
                  <w:marRight w:val="0"/>
                  <w:marTop w:val="0"/>
                  <w:marBottom w:val="0"/>
                  <w:divBdr>
                    <w:top w:val="none" w:sz="0" w:space="0" w:color="auto"/>
                    <w:left w:val="none" w:sz="0" w:space="0" w:color="auto"/>
                    <w:bottom w:val="none" w:sz="0" w:space="0" w:color="auto"/>
                    <w:right w:val="none" w:sz="0" w:space="0" w:color="auto"/>
                  </w:divBdr>
                  <w:divsChild>
                    <w:div w:id="777876251">
                      <w:marLeft w:val="0"/>
                      <w:marRight w:val="0"/>
                      <w:marTop w:val="0"/>
                      <w:marBottom w:val="0"/>
                      <w:divBdr>
                        <w:top w:val="none" w:sz="0" w:space="0" w:color="auto"/>
                        <w:left w:val="none" w:sz="0" w:space="0" w:color="auto"/>
                        <w:bottom w:val="none" w:sz="0" w:space="0" w:color="auto"/>
                        <w:right w:val="none" w:sz="0" w:space="0" w:color="auto"/>
                      </w:divBdr>
                    </w:div>
                  </w:divsChild>
                </w:div>
                <w:div w:id="1838838901">
                  <w:marLeft w:val="0"/>
                  <w:marRight w:val="0"/>
                  <w:marTop w:val="0"/>
                  <w:marBottom w:val="0"/>
                  <w:divBdr>
                    <w:top w:val="none" w:sz="0" w:space="0" w:color="auto"/>
                    <w:left w:val="none" w:sz="0" w:space="0" w:color="auto"/>
                    <w:bottom w:val="none" w:sz="0" w:space="0" w:color="auto"/>
                    <w:right w:val="none" w:sz="0" w:space="0" w:color="auto"/>
                  </w:divBdr>
                  <w:divsChild>
                    <w:div w:id="161894560">
                      <w:marLeft w:val="0"/>
                      <w:marRight w:val="0"/>
                      <w:marTop w:val="0"/>
                      <w:marBottom w:val="0"/>
                      <w:divBdr>
                        <w:top w:val="none" w:sz="0" w:space="0" w:color="auto"/>
                        <w:left w:val="none" w:sz="0" w:space="0" w:color="auto"/>
                        <w:bottom w:val="none" w:sz="0" w:space="0" w:color="auto"/>
                        <w:right w:val="none" w:sz="0" w:space="0" w:color="auto"/>
                      </w:divBdr>
                    </w:div>
                    <w:div w:id="437988225">
                      <w:marLeft w:val="0"/>
                      <w:marRight w:val="0"/>
                      <w:marTop w:val="0"/>
                      <w:marBottom w:val="0"/>
                      <w:divBdr>
                        <w:top w:val="none" w:sz="0" w:space="0" w:color="auto"/>
                        <w:left w:val="none" w:sz="0" w:space="0" w:color="auto"/>
                        <w:bottom w:val="none" w:sz="0" w:space="0" w:color="auto"/>
                        <w:right w:val="none" w:sz="0" w:space="0" w:color="auto"/>
                      </w:divBdr>
                    </w:div>
                    <w:div w:id="557784282">
                      <w:marLeft w:val="0"/>
                      <w:marRight w:val="0"/>
                      <w:marTop w:val="0"/>
                      <w:marBottom w:val="0"/>
                      <w:divBdr>
                        <w:top w:val="none" w:sz="0" w:space="0" w:color="auto"/>
                        <w:left w:val="none" w:sz="0" w:space="0" w:color="auto"/>
                        <w:bottom w:val="none" w:sz="0" w:space="0" w:color="auto"/>
                        <w:right w:val="none" w:sz="0" w:space="0" w:color="auto"/>
                      </w:divBdr>
                    </w:div>
                    <w:div w:id="590504781">
                      <w:marLeft w:val="0"/>
                      <w:marRight w:val="0"/>
                      <w:marTop w:val="0"/>
                      <w:marBottom w:val="0"/>
                      <w:divBdr>
                        <w:top w:val="none" w:sz="0" w:space="0" w:color="auto"/>
                        <w:left w:val="none" w:sz="0" w:space="0" w:color="auto"/>
                        <w:bottom w:val="none" w:sz="0" w:space="0" w:color="auto"/>
                        <w:right w:val="none" w:sz="0" w:space="0" w:color="auto"/>
                      </w:divBdr>
                    </w:div>
                    <w:div w:id="2041007265">
                      <w:marLeft w:val="0"/>
                      <w:marRight w:val="0"/>
                      <w:marTop w:val="0"/>
                      <w:marBottom w:val="0"/>
                      <w:divBdr>
                        <w:top w:val="none" w:sz="0" w:space="0" w:color="auto"/>
                        <w:left w:val="none" w:sz="0" w:space="0" w:color="auto"/>
                        <w:bottom w:val="none" w:sz="0" w:space="0" w:color="auto"/>
                        <w:right w:val="none" w:sz="0" w:space="0" w:color="auto"/>
                      </w:divBdr>
                    </w:div>
                  </w:divsChild>
                </w:div>
                <w:div w:id="2037072455">
                  <w:marLeft w:val="0"/>
                  <w:marRight w:val="0"/>
                  <w:marTop w:val="0"/>
                  <w:marBottom w:val="0"/>
                  <w:divBdr>
                    <w:top w:val="none" w:sz="0" w:space="0" w:color="auto"/>
                    <w:left w:val="none" w:sz="0" w:space="0" w:color="auto"/>
                    <w:bottom w:val="none" w:sz="0" w:space="0" w:color="auto"/>
                    <w:right w:val="none" w:sz="0" w:space="0" w:color="auto"/>
                  </w:divBdr>
                  <w:divsChild>
                    <w:div w:id="2352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537609">
      <w:bodyDiv w:val="1"/>
      <w:marLeft w:val="0"/>
      <w:marRight w:val="0"/>
      <w:marTop w:val="0"/>
      <w:marBottom w:val="0"/>
      <w:divBdr>
        <w:top w:val="none" w:sz="0" w:space="0" w:color="auto"/>
        <w:left w:val="none" w:sz="0" w:space="0" w:color="auto"/>
        <w:bottom w:val="none" w:sz="0" w:space="0" w:color="auto"/>
        <w:right w:val="none" w:sz="0" w:space="0" w:color="auto"/>
      </w:divBdr>
    </w:div>
    <w:div w:id="2120366252">
      <w:bodyDiv w:val="1"/>
      <w:marLeft w:val="0"/>
      <w:marRight w:val="0"/>
      <w:marTop w:val="0"/>
      <w:marBottom w:val="0"/>
      <w:divBdr>
        <w:top w:val="none" w:sz="0" w:space="0" w:color="auto"/>
        <w:left w:val="none" w:sz="0" w:space="0" w:color="auto"/>
        <w:bottom w:val="none" w:sz="0" w:space="0" w:color="auto"/>
        <w:right w:val="none" w:sz="0" w:space="0" w:color="auto"/>
      </w:divBdr>
      <w:divsChild>
        <w:div w:id="153301895">
          <w:marLeft w:val="0"/>
          <w:marRight w:val="0"/>
          <w:marTop w:val="0"/>
          <w:marBottom w:val="0"/>
          <w:divBdr>
            <w:top w:val="none" w:sz="0" w:space="0" w:color="auto"/>
            <w:left w:val="none" w:sz="0" w:space="0" w:color="auto"/>
            <w:bottom w:val="none" w:sz="0" w:space="0" w:color="auto"/>
            <w:right w:val="none" w:sz="0" w:space="0" w:color="auto"/>
          </w:divBdr>
        </w:div>
        <w:div w:id="904529712">
          <w:marLeft w:val="0"/>
          <w:marRight w:val="0"/>
          <w:marTop w:val="0"/>
          <w:marBottom w:val="0"/>
          <w:divBdr>
            <w:top w:val="none" w:sz="0" w:space="0" w:color="auto"/>
            <w:left w:val="none" w:sz="0" w:space="0" w:color="auto"/>
            <w:bottom w:val="none" w:sz="0" w:space="0" w:color="auto"/>
            <w:right w:val="none" w:sz="0" w:space="0" w:color="auto"/>
          </w:divBdr>
        </w:div>
        <w:div w:id="1243760460">
          <w:marLeft w:val="0"/>
          <w:marRight w:val="0"/>
          <w:marTop w:val="0"/>
          <w:marBottom w:val="0"/>
          <w:divBdr>
            <w:top w:val="none" w:sz="0" w:space="0" w:color="auto"/>
            <w:left w:val="none" w:sz="0" w:space="0" w:color="auto"/>
            <w:bottom w:val="none" w:sz="0" w:space="0" w:color="auto"/>
            <w:right w:val="none" w:sz="0" w:space="0" w:color="auto"/>
          </w:divBdr>
        </w:div>
        <w:div w:id="1304040696">
          <w:marLeft w:val="0"/>
          <w:marRight w:val="0"/>
          <w:marTop w:val="0"/>
          <w:marBottom w:val="0"/>
          <w:divBdr>
            <w:top w:val="none" w:sz="0" w:space="0" w:color="auto"/>
            <w:left w:val="none" w:sz="0" w:space="0" w:color="auto"/>
            <w:bottom w:val="none" w:sz="0" w:space="0" w:color="auto"/>
            <w:right w:val="none" w:sz="0" w:space="0" w:color="auto"/>
          </w:divBdr>
        </w:div>
        <w:div w:id="1464810969">
          <w:marLeft w:val="0"/>
          <w:marRight w:val="0"/>
          <w:marTop w:val="0"/>
          <w:marBottom w:val="0"/>
          <w:divBdr>
            <w:top w:val="none" w:sz="0" w:space="0" w:color="auto"/>
            <w:left w:val="none" w:sz="0" w:space="0" w:color="auto"/>
            <w:bottom w:val="none" w:sz="0" w:space="0" w:color="auto"/>
            <w:right w:val="none" w:sz="0" w:space="0" w:color="auto"/>
          </w:divBdr>
        </w:div>
        <w:div w:id="1541044226">
          <w:marLeft w:val="0"/>
          <w:marRight w:val="0"/>
          <w:marTop w:val="0"/>
          <w:marBottom w:val="0"/>
          <w:divBdr>
            <w:top w:val="none" w:sz="0" w:space="0" w:color="auto"/>
            <w:left w:val="none" w:sz="0" w:space="0" w:color="auto"/>
            <w:bottom w:val="none" w:sz="0" w:space="0" w:color="auto"/>
            <w:right w:val="none" w:sz="0" w:space="0" w:color="auto"/>
          </w:divBdr>
        </w:div>
      </w:divsChild>
    </w:div>
    <w:div w:id="2122257240">
      <w:bodyDiv w:val="1"/>
      <w:marLeft w:val="0"/>
      <w:marRight w:val="0"/>
      <w:marTop w:val="0"/>
      <w:marBottom w:val="0"/>
      <w:divBdr>
        <w:top w:val="none" w:sz="0" w:space="0" w:color="auto"/>
        <w:left w:val="none" w:sz="0" w:space="0" w:color="auto"/>
        <w:bottom w:val="none" w:sz="0" w:space="0" w:color="auto"/>
        <w:right w:val="none" w:sz="0" w:space="0" w:color="auto"/>
      </w:divBdr>
    </w:div>
    <w:div w:id="2132044069">
      <w:bodyDiv w:val="1"/>
      <w:marLeft w:val="0"/>
      <w:marRight w:val="0"/>
      <w:marTop w:val="0"/>
      <w:marBottom w:val="0"/>
      <w:divBdr>
        <w:top w:val="none" w:sz="0" w:space="0" w:color="auto"/>
        <w:left w:val="none" w:sz="0" w:space="0" w:color="auto"/>
        <w:bottom w:val="none" w:sz="0" w:space="0" w:color="auto"/>
        <w:right w:val="none" w:sz="0" w:space="0" w:color="auto"/>
      </w:divBdr>
      <w:divsChild>
        <w:div w:id="582295760">
          <w:marLeft w:val="0"/>
          <w:marRight w:val="0"/>
          <w:marTop w:val="0"/>
          <w:marBottom w:val="0"/>
          <w:divBdr>
            <w:top w:val="none" w:sz="0" w:space="0" w:color="auto"/>
            <w:left w:val="none" w:sz="0" w:space="0" w:color="auto"/>
            <w:bottom w:val="none" w:sz="0" w:space="0" w:color="auto"/>
            <w:right w:val="none" w:sz="0" w:space="0" w:color="auto"/>
          </w:divBdr>
        </w:div>
        <w:div w:id="785008917">
          <w:marLeft w:val="0"/>
          <w:marRight w:val="0"/>
          <w:marTop w:val="0"/>
          <w:marBottom w:val="0"/>
          <w:divBdr>
            <w:top w:val="none" w:sz="0" w:space="0" w:color="auto"/>
            <w:left w:val="none" w:sz="0" w:space="0" w:color="auto"/>
            <w:bottom w:val="none" w:sz="0" w:space="0" w:color="auto"/>
            <w:right w:val="none" w:sz="0" w:space="0" w:color="auto"/>
          </w:divBdr>
        </w:div>
        <w:div w:id="1106195394">
          <w:marLeft w:val="0"/>
          <w:marRight w:val="0"/>
          <w:marTop w:val="0"/>
          <w:marBottom w:val="0"/>
          <w:divBdr>
            <w:top w:val="none" w:sz="0" w:space="0" w:color="auto"/>
            <w:left w:val="none" w:sz="0" w:space="0" w:color="auto"/>
            <w:bottom w:val="none" w:sz="0" w:space="0" w:color="auto"/>
            <w:right w:val="none" w:sz="0" w:space="0" w:color="auto"/>
          </w:divBdr>
        </w:div>
        <w:div w:id="1141769995">
          <w:marLeft w:val="0"/>
          <w:marRight w:val="0"/>
          <w:marTop w:val="0"/>
          <w:marBottom w:val="0"/>
          <w:divBdr>
            <w:top w:val="none" w:sz="0" w:space="0" w:color="auto"/>
            <w:left w:val="none" w:sz="0" w:space="0" w:color="auto"/>
            <w:bottom w:val="none" w:sz="0" w:space="0" w:color="auto"/>
            <w:right w:val="none" w:sz="0" w:space="0" w:color="auto"/>
          </w:divBdr>
        </w:div>
        <w:div w:id="17622179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13523260.2012.693776" TargetMode="External"/><Relationship Id="rId21" Type="http://schemas.openxmlformats.org/officeDocument/2006/relationships/hyperlink" Target="https://www.reuters.com/world/asia-pacific/armenian-pm-says-russia-has-not-delivered-weapons-yerevan-has-paid-tass-2023-11-24/" TargetMode="External"/><Relationship Id="rId63" Type="http://schemas.openxmlformats.org/officeDocument/2006/relationships/hyperlink" Target="https://www.mid.ru/en/foreign_policy/news/1521545/" TargetMode="External"/><Relationship Id="rId159" Type="http://schemas.openxmlformats.org/officeDocument/2006/relationships/hyperlink" Target="https://opil.ouplaw.com/page/616" TargetMode="External"/><Relationship Id="rId170" Type="http://schemas.openxmlformats.org/officeDocument/2006/relationships/hyperlink" Target="https://www.foreignaffairs.com/articles/russian-federation/1994-05-01/lagging-partnership" TargetMode="External"/><Relationship Id="rId226" Type="http://schemas.openxmlformats.org/officeDocument/2006/relationships/hyperlink" Target="http://www.en.kremlin.ru/events/president/news/20603" TargetMode="External"/><Relationship Id="rId268" Type="http://schemas.openxmlformats.org/officeDocument/2006/relationships/hyperlink" Target="https://platformraam.nl/artikelen/2850-in-armenia-the-future-hangs-between-history-and-reality" TargetMode="External"/><Relationship Id="rId32" Type="http://schemas.openxmlformats.org/officeDocument/2006/relationships/hyperlink" Target="http://en.kremlin.ru/acts/news/69810" TargetMode="External"/><Relationship Id="rId74" Type="http://schemas.openxmlformats.org/officeDocument/2006/relationships/hyperlink" Target="https://www.bbc.com/news/stories-55238803" TargetMode="External"/><Relationship Id="rId128" Type="http://schemas.openxmlformats.org/officeDocument/2006/relationships/hyperlink" Target="https://doi.org/10.36253/asiac-2414" TargetMode="External"/><Relationship Id="rId5" Type="http://schemas.openxmlformats.org/officeDocument/2006/relationships/webSettings" Target="webSettings.xml"/><Relationship Id="rId95" Type="http://schemas.openxmlformats.org/officeDocument/2006/relationships/hyperlink" Target="https://doi.org/10.1177/1354066112445290" TargetMode="External"/><Relationship Id="rId160" Type="http://schemas.openxmlformats.org/officeDocument/2006/relationships/hyperlink" Target="https://doi.org/10.1080/09662839.2018.1428565" TargetMode="External"/><Relationship Id="rId181" Type="http://schemas.openxmlformats.org/officeDocument/2006/relationships/hyperlink" Target="https://doi.org/10.1007/s11133-014-9274-z" TargetMode="External"/><Relationship Id="rId216" Type="http://schemas.openxmlformats.org/officeDocument/2006/relationships/hyperlink" Target="http://en.kremlin.ru/events/president/news/17118/photos" TargetMode="External"/><Relationship Id="rId237" Type="http://schemas.openxmlformats.org/officeDocument/2006/relationships/hyperlink" Target="https://mwi.westpoint.edu/the-battle-of-shusha-city-and-the-missed-lessons-of-the-2020-nagorno-karabakh-war/" TargetMode="External"/><Relationship Id="rId258" Type="http://schemas.openxmlformats.org/officeDocument/2006/relationships/hyperlink" Target="https://doi.org/10.32609/j.ruje.8.86617" TargetMode="External"/><Relationship Id="rId22" Type="http://schemas.openxmlformats.org/officeDocument/2006/relationships/hyperlink" Target="https://www.sipri.org/commentary/topical-backgrounder/2021/arms-transfers-conflict-zones-case-nagorno-karabakh" TargetMode="External"/><Relationship Id="rId43" Type="http://schemas.openxmlformats.org/officeDocument/2006/relationships/hyperlink" Target="https://hetq.am/en/article/165645" TargetMode="External"/><Relationship Id="rId64" Type="http://schemas.openxmlformats.org/officeDocument/2006/relationships/hyperlink" Target="https://asbarez.com/seven-armenians-among-200-richest-businessmen-in-russia/" TargetMode="External"/><Relationship Id="rId118" Type="http://schemas.openxmlformats.org/officeDocument/2006/relationships/hyperlink" Target="https://eurasianet.org/russian-armenian-tycoon-expanding-influence-in-armenia" TargetMode="External"/><Relationship Id="rId139" Type="http://schemas.openxmlformats.org/officeDocument/2006/relationships/hyperlink" Target="https://doi.org/10.1057/ejis.2011.54" TargetMode="External"/><Relationship Id="rId85" Type="http://schemas.openxmlformats.org/officeDocument/2006/relationships/hyperlink" Target="https://doi.org/10.1177/10778004231184421" TargetMode="External"/><Relationship Id="rId150" Type="http://schemas.openxmlformats.org/officeDocument/2006/relationships/hyperlink" Target="https://doi.org/10.1177/0001699304048668" TargetMode="External"/><Relationship Id="rId171" Type="http://schemas.openxmlformats.org/officeDocument/2006/relationships/hyperlink" Target="https://doi.org/10.2753/ppc1075-8216550601" TargetMode="External"/><Relationship Id="rId192" Type="http://schemas.openxmlformats.org/officeDocument/2006/relationships/hyperlink" Target="https://www.foreignaffairs.com/articles/russia-fsu/2014-08-18/why-ukraine-crisis-west-s-fault" TargetMode="External"/><Relationship Id="rId206" Type="http://schemas.openxmlformats.org/officeDocument/2006/relationships/hyperlink" Target="https://doi.org/10.1146/annurev.soc.24.1.105" TargetMode="External"/><Relationship Id="rId227" Type="http://schemas.openxmlformats.org/officeDocument/2006/relationships/hyperlink" Target="https://doi.org/10.30722/anzjes.vol15.iss1.17369" TargetMode="External"/><Relationship Id="rId248" Type="http://schemas.openxmlformats.org/officeDocument/2006/relationships/hyperlink" Target="https://theins.ru/en/news/265355" TargetMode="External"/><Relationship Id="rId269" Type="http://schemas.openxmlformats.org/officeDocument/2006/relationships/hyperlink" Target="https://doi.org/10.1177/0047117809359040" TargetMode="External"/><Relationship Id="rId12" Type="http://schemas.openxmlformats.org/officeDocument/2006/relationships/image" Target="media/image4.png"/><Relationship Id="rId33" Type="http://schemas.openxmlformats.org/officeDocument/2006/relationships/hyperlink" Target="https://en.iz.ru/en/1966398/igor-karmazin/side-baku-what-will-rapprochement-azerbaijan-ukraine-lead" TargetMode="External"/><Relationship Id="rId108" Type="http://schemas.openxmlformats.org/officeDocument/2006/relationships/hyperlink" Target="https://doi.org/10.1080/00905992.2013.767227" TargetMode="External"/><Relationship Id="rId129" Type="http://schemas.openxmlformats.org/officeDocument/2006/relationships/hyperlink" Target="https://doi.org/10.1017/S026021051600019X" TargetMode="External"/><Relationship Id="rId54" Type="http://schemas.openxmlformats.org/officeDocument/2006/relationships/hyperlink" Target="https://realtribune.ru/rossijskaya-eparhiya-aac-blagoslovila-voinov-armyanskogo-batalona-arbat-na-nesenie-ratnoj-sluzhby/" TargetMode="External"/><Relationship Id="rId75" Type="http://schemas.openxmlformats.org/officeDocument/2006/relationships/hyperlink" Target="https://uic.am/wp-content/uploads/2015/01/paym-sahmanapah-1992-rus.pdf" TargetMode="External"/><Relationship Id="rId96" Type="http://schemas.openxmlformats.org/officeDocument/2006/relationships/hyperlink" Target="https://www.icij.org/investigations/panama-papers/20160403-putin-russia-offshore-network/" TargetMode="External"/><Relationship Id="rId140" Type="http://schemas.openxmlformats.org/officeDocument/2006/relationships/hyperlink" Target="https://doi.org/10.1080/10758216.2024.2343640" TargetMode="External"/><Relationship Id="rId161" Type="http://schemas.openxmlformats.org/officeDocument/2006/relationships/hyperlink" Target="https://doi.org/10.1080/10758216.2019.1591925" TargetMode="External"/><Relationship Id="rId182" Type="http://schemas.openxmlformats.org/officeDocument/2006/relationships/hyperlink" Target="https://doi.org/10.1057/s41311-019-00177-9" TargetMode="External"/><Relationship Id="rId217" Type="http://schemas.openxmlformats.org/officeDocument/2006/relationships/hyperlink" Target="http://en.kremlin.ru/events/president/transcripts/21998" TargetMode="External"/><Relationship Id="rId6" Type="http://schemas.openxmlformats.org/officeDocument/2006/relationships/footnotes" Target="footnotes.xml"/><Relationship Id="rId238" Type="http://schemas.openxmlformats.org/officeDocument/2006/relationships/hyperlink" Target="https://mwi.westpoint.edu/the-battle-of-shusha-city-and-the-missed-lessons-of-the-2020-nagorno-karabakh-war/" TargetMode="External"/><Relationship Id="rId259" Type="http://schemas.openxmlformats.org/officeDocument/2006/relationships/hyperlink" Target="http://en.kremlin.ru/events/president/news/70674" TargetMode="External"/><Relationship Id="rId23" Type="http://schemas.openxmlformats.org/officeDocument/2006/relationships/hyperlink" Target="http://en.kremlin.ru/events/president/news/66181" TargetMode="External"/><Relationship Id="rId119" Type="http://schemas.openxmlformats.org/officeDocument/2006/relationships/hyperlink" Target="https://doi.org/10.1093/fpa/orw032" TargetMode="External"/><Relationship Id="rId270" Type="http://schemas.openxmlformats.org/officeDocument/2006/relationships/hyperlink" Target="https://ru.armeniasputnik.am/" TargetMode="External"/><Relationship Id="rId44" Type="http://schemas.openxmlformats.org/officeDocument/2006/relationships/hyperlink" Target="https://oc-media.org/pashinyan-armenia-has-frozen-its-participation-in-the-csto/" TargetMode="External"/><Relationship Id="rId65" Type="http://schemas.openxmlformats.org/officeDocument/2006/relationships/hyperlink" Target="https://president.az/en/articles/view/52122" TargetMode="External"/><Relationship Id="rId86" Type="http://schemas.openxmlformats.org/officeDocument/2006/relationships/hyperlink" Target="https://doi.org/10.1080/09662830903468734" TargetMode="External"/><Relationship Id="rId130" Type="http://schemas.openxmlformats.org/officeDocument/2006/relationships/hyperlink" Target="https://doi.org/10.1111/j.1468-2478.2007.00438.x" TargetMode="External"/><Relationship Id="rId151" Type="http://schemas.openxmlformats.org/officeDocument/2006/relationships/hyperlink" Target="https://doi.org/10.1080/09592318.2024.2312957" TargetMode="External"/><Relationship Id="rId172" Type="http://schemas.openxmlformats.org/officeDocument/2006/relationships/hyperlink" Target="https://doi.org/10.1057/s41268-021-00219-x" TargetMode="External"/><Relationship Id="rId193" Type="http://schemas.openxmlformats.org/officeDocument/2006/relationships/hyperlink" Target="https://meduza.io/feature/2023/09/20/meduza-vyyasnila-kak-kreml-rekomenduet-gosudarstvennym-smi-osveshchat-sobytiya-v-nagornom-karabahe" TargetMode="External"/><Relationship Id="rId207" Type="http://schemas.openxmlformats.org/officeDocument/2006/relationships/hyperlink" Target="https://doi.org/10.1016/j.polgeo.2022.102784" TargetMode="External"/><Relationship Id="rId228" Type="http://schemas.openxmlformats.org/officeDocument/2006/relationships/hyperlink" Target="https://doi.org/10.1093/acrefore/9780190846626.013.546" TargetMode="External"/><Relationship Id="rId249" Type="http://schemas.openxmlformats.org/officeDocument/2006/relationships/hyperlink" Target="https://www.ieee.es/Galerias/fichero/docs_marco/2013/DIEEEM06-2013_Rusia_ConceptoPoliticaExterior_FRuizGlez_ENGLISH.pdf" TargetMode="External"/><Relationship Id="rId13" Type="http://schemas.openxmlformats.org/officeDocument/2006/relationships/image" Target="media/image5.png"/><Relationship Id="rId109" Type="http://schemas.openxmlformats.org/officeDocument/2006/relationships/hyperlink" Target="https://www.caspianpolicy.org/research/articles/25-years-after-the-contract-of-the-century-the-implications-for-caspian-energy" TargetMode="External"/><Relationship Id="rId260" Type="http://schemas.openxmlformats.org/officeDocument/2006/relationships/hyperlink" Target="https://doi.org/10.1093/isr/viad016" TargetMode="External"/><Relationship Id="rId34" Type="http://schemas.openxmlformats.org/officeDocument/2006/relationships/hyperlink" Target="https://main.un.org/securitycouncil/en/content/repertoire/structure" TargetMode="External"/><Relationship Id="rId55" Type="http://schemas.openxmlformats.org/officeDocument/2006/relationships/hyperlink" Target="https://www.dissercat.com/content/problema-rasshireniya-nato-vo-vnutripoliticheskom-protsesse-v-ssha-i-rossii-1990-1998-gg-0" TargetMode="External"/><Relationship Id="rId76" Type="http://schemas.openxmlformats.org/officeDocument/2006/relationships/hyperlink" Target="https://sarinfo.org/about/" TargetMode="External"/><Relationship Id="rId97" Type="http://schemas.openxmlformats.org/officeDocument/2006/relationships/hyperlink" Target="https://doi.org/10.7788/9783412502263-008" TargetMode="External"/><Relationship Id="rId120" Type="http://schemas.openxmlformats.org/officeDocument/2006/relationships/hyperlink" Target="https://carnegieendowment.org/europe/strategic-europe/2024/09/armenia-and-azerbaijan-a-fragile-peace-process?lang=en" TargetMode="External"/><Relationship Id="rId141" Type="http://schemas.openxmlformats.org/officeDocument/2006/relationships/hyperlink" Target="https://eurasianet.org/angered-arms-sales-azerbaijan-armenians-push-away-russias-embrace" TargetMode="External"/><Relationship Id="rId7" Type="http://schemas.openxmlformats.org/officeDocument/2006/relationships/endnotes" Target="endnotes.xml"/><Relationship Id="rId162" Type="http://schemas.openxmlformats.org/officeDocument/2006/relationships/hyperlink" Target="https://doi.org/10.5465/amr.2010.48463336" TargetMode="External"/><Relationship Id="rId183" Type="http://schemas.openxmlformats.org/officeDocument/2006/relationships/hyperlink" Target="https://doi.org/10.1080/10758216.2015.1010902" TargetMode="External"/><Relationship Id="rId218" Type="http://schemas.openxmlformats.org/officeDocument/2006/relationships/hyperlink" Target="http://en.kremlin.ru/events/president/news/21080" TargetMode="External"/><Relationship Id="rId239" Type="http://schemas.openxmlformats.org/officeDocument/2006/relationships/hyperlink" Target="https://www.repubblica.it/esteri/2023/09/03/news/armenia_pashinyan_russia_sicurezza_nagorno_karabakh-413072928/" TargetMode="External"/><Relationship Id="rId250" Type="http://schemas.openxmlformats.org/officeDocument/2006/relationships/hyperlink" Target="https://www.forbes.com/sites/giacomotognini/2022/05/03/why-turkey-could-become-the-next-haven-for-russian-oligarchs-fleeing-sanctions/" TargetMode="External"/><Relationship Id="rId271" Type="http://schemas.openxmlformats.org/officeDocument/2006/relationships/hyperlink" Target="https://ru.armeniasputnik.am/" TargetMode="External"/><Relationship Id="rId24" Type="http://schemas.openxmlformats.org/officeDocument/2006/relationships/hyperlink" Target="https://eurasianet.org/azerbaijan-launches-wide-ranging-attacks-against-armenia?utm_source=chatgpt.com" TargetMode="External"/><Relationship Id="rId45" Type="http://schemas.openxmlformats.org/officeDocument/2006/relationships/hyperlink" Target="https://hagueresearch.org/pashinyans-populist-shift-from-nationalism-to-pragmatism/" TargetMode="External"/><Relationship Id="rId66" Type="http://schemas.openxmlformats.org/officeDocument/2006/relationships/hyperlink" Target="http://en.kremlin.ru/events/president/news/69465" TargetMode="External"/><Relationship Id="rId87" Type="http://schemas.openxmlformats.org/officeDocument/2006/relationships/hyperlink" Target="https://doi.org/10.1177/02633957211041440" TargetMode="External"/><Relationship Id="rId110" Type="http://schemas.openxmlformats.org/officeDocument/2006/relationships/hyperlink" Target="https://gfsis.org.ge/" TargetMode="External"/><Relationship Id="rId131" Type="http://schemas.openxmlformats.org/officeDocument/2006/relationships/hyperlink" Target="https://doi.org/10.1515/ijsl.1981.27.93" TargetMode="External"/><Relationship Id="rId152" Type="http://schemas.openxmlformats.org/officeDocument/2006/relationships/hyperlink" Target="https://top-center.org/en/analytics/3515/the-evolution-of-armenian-discourse-on-karabakh" TargetMode="External"/><Relationship Id="rId173" Type="http://schemas.openxmlformats.org/officeDocument/2006/relationships/hyperlink" Target="https://doi.org/10.1093/isr/viac013" TargetMode="External"/><Relationship Id="rId194" Type="http://schemas.openxmlformats.org/officeDocument/2006/relationships/hyperlink" Target="https://eurasianet.org/in-moscow-pashinyan-gets-along-with-putin-clashes-with-russian-armenian-philanthropist" TargetMode="External"/><Relationship Id="rId208" Type="http://schemas.openxmlformats.org/officeDocument/2006/relationships/hyperlink" Target="https://doi.org/10.1177/0047117819856397" TargetMode="External"/><Relationship Id="rId229" Type="http://schemas.openxmlformats.org/officeDocument/2006/relationships/hyperlink" Target="https://doi.org/10.1080/13569775.2017.1408171" TargetMode="External"/><Relationship Id="rId240" Type="http://schemas.openxmlformats.org/officeDocument/2006/relationships/hyperlink" Target="https://carnegieendowment.org/posts/2020/07/behind-the-flare-up-along-armenia-azerbaijan-border?lang=en&amp;utm_source=chatgpt.com" TargetMode="External"/><Relationship Id="rId261" Type="http://schemas.openxmlformats.org/officeDocument/2006/relationships/hyperlink" Target="http://www.patriarchia.ru/db/print/928446.html" TargetMode="External"/><Relationship Id="rId14" Type="http://schemas.openxmlformats.org/officeDocument/2006/relationships/image" Target="media/image6.png"/><Relationship Id="rId35" Type="http://schemas.openxmlformats.org/officeDocument/2006/relationships/hyperlink" Target="https://www.nato.int/docu/speech/1996/s9612115.htm" TargetMode="External"/><Relationship Id="rId56" Type="http://schemas.openxmlformats.org/officeDocument/2006/relationships/hyperlink" Target="https://armenpress.am/hy/article/1096469" TargetMode="External"/><Relationship Id="rId77" Type="http://schemas.openxmlformats.org/officeDocument/2006/relationships/hyperlink" Target="https://www.reuters.com/world/turkey-russia-ukraine-un-set-meet-grain-exports-2022-07-13/" TargetMode="External"/><Relationship Id="rId100" Type="http://schemas.openxmlformats.org/officeDocument/2006/relationships/hyperlink" Target="https://doi.org/10.3316/qrj0902027" TargetMode="External"/><Relationship Id="rId8" Type="http://schemas.openxmlformats.org/officeDocument/2006/relationships/footer" Target="footer1.xml"/><Relationship Id="rId98" Type="http://schemas.openxmlformats.org/officeDocument/2006/relationships/hyperlink" Target="https://doi.org/10.1177/1049732313502128" TargetMode="External"/><Relationship Id="rId121" Type="http://schemas.openxmlformats.org/officeDocument/2006/relationships/hyperlink" Target="https://carnegieendowment.org/research/2024/07/armenia-navigates-a-path-away-from-russia?lang=en" TargetMode="External"/><Relationship Id="rId142" Type="http://schemas.openxmlformats.org/officeDocument/2006/relationships/hyperlink" Target="https://doi.org/10.11610/connections.23.4.01" TargetMode="External"/><Relationship Id="rId163" Type="http://schemas.openxmlformats.org/officeDocument/2006/relationships/hyperlink" Target="https://www.azatutyun.am/a/33081494.html" TargetMode="External"/><Relationship Id="rId184" Type="http://schemas.openxmlformats.org/officeDocument/2006/relationships/hyperlink" Target="https://doi.org/10.1037/0022-3514.66.6.989" TargetMode="External"/><Relationship Id="rId219" Type="http://schemas.openxmlformats.org/officeDocument/2006/relationships/hyperlink" Target="https://doi.org/10.1017/nps.2020.54" TargetMode="External"/><Relationship Id="rId230" Type="http://schemas.openxmlformats.org/officeDocument/2006/relationships/hyperlink" Target="https://doi.org/10.2307/2129860" TargetMode="External"/><Relationship Id="rId251" Type="http://schemas.openxmlformats.org/officeDocument/2006/relationships/hyperlink" Target="https://doi.org/10.1111/pops.12226" TargetMode="External"/><Relationship Id="rId25" Type="http://schemas.openxmlformats.org/officeDocument/2006/relationships/hyperlink" Target="https://duma.mos.ru/en/0/page/employee/977" TargetMode="External"/><Relationship Id="rId46" Type="http://schemas.openxmlformats.org/officeDocument/2006/relationships/hyperlink" Target="https://azertag.az/en/xeber/president_ilham_aliyev_azerbaijan_will_restore_its_territorial_integrity-92151" TargetMode="External"/><Relationship Id="rId67" Type="http://schemas.openxmlformats.org/officeDocument/2006/relationships/hyperlink" Target="http://en.kremlin.ru/events/president/transcripts/24034" TargetMode="External"/><Relationship Id="rId272" Type="http://schemas.openxmlformats.org/officeDocument/2006/relationships/hyperlink" Target="https://ru.armeniasputnik.am/" TargetMode="External"/><Relationship Id="rId88" Type="http://schemas.openxmlformats.org/officeDocument/2006/relationships/hyperlink" Target="https://doi.org/10.1111/j.1365-2648.2009.04998.x" TargetMode="External"/><Relationship Id="rId111" Type="http://schemas.openxmlformats.org/officeDocument/2006/relationships/hyperlink" Target="https://doi.org/10.31278/1810-6374-2024-22-1-194-216" TargetMode="External"/><Relationship Id="rId132" Type="http://schemas.openxmlformats.org/officeDocument/2006/relationships/hyperlink" Target="https://doi.org/10.1146/annurev-anthro-081309-145936" TargetMode="External"/><Relationship Id="rId153" Type="http://schemas.openxmlformats.org/officeDocument/2006/relationships/hyperlink" Target="https://jamestown.org/program/azerbaijan-applies-for-brics-membership/" TargetMode="External"/><Relationship Id="rId174" Type="http://schemas.openxmlformats.org/officeDocument/2006/relationships/hyperlink" Target="https://doi.org/10.1080/09557571.2022.2108761" TargetMode="External"/><Relationship Id="rId195" Type="http://schemas.openxmlformats.org/officeDocument/2006/relationships/hyperlink" Target="https://eurasianet.org/armenia-proposing-restoration-of-rail-route-through-azerbaijan-to-russia?utm_source=chatgpt.com" TargetMode="External"/><Relationship Id="rId209" Type="http://schemas.openxmlformats.org/officeDocument/2006/relationships/hyperlink" Target="https://doi.org/10.1007/s11366-020-09710-7" TargetMode="External"/><Relationship Id="rId220" Type="http://schemas.openxmlformats.org/officeDocument/2006/relationships/hyperlink" Target="https://www.forbes.com/sites/kenrapoza/2023/06/25/eu-worries-russia-will-try-thwarting-lucrative-gas-deal-with-azerbaijan/" TargetMode="External"/><Relationship Id="rId241" Type="http://schemas.openxmlformats.org/officeDocument/2006/relationships/hyperlink" Target="https://doi.org/10.1111/fpa.12089" TargetMode="External"/><Relationship Id="rId15" Type="http://schemas.openxmlformats.org/officeDocument/2006/relationships/image" Target="media/image7.png"/><Relationship Id="rId36" Type="http://schemas.openxmlformats.org/officeDocument/2006/relationships/hyperlink" Target="https://civil.ge/archives/category/news" TargetMode="External"/><Relationship Id="rId57" Type="http://schemas.openxmlformats.org/officeDocument/2006/relationships/hyperlink" Target="https://www.mfa.am/en/bilateral-relations/ru" TargetMode="External"/><Relationship Id="rId262" Type="http://schemas.openxmlformats.org/officeDocument/2006/relationships/hyperlink" Target="https://doi.org/10.1017/cbo9780511626999.008" TargetMode="External"/><Relationship Id="rId78" Type="http://schemas.openxmlformats.org/officeDocument/2006/relationships/hyperlink" Target="https://www.reuters.com/world/europe/ukraine-says-russia-has-nearly-100000-troops-near-its-border-2021-11-13/" TargetMode="External"/><Relationship Id="rId99" Type="http://schemas.openxmlformats.org/officeDocument/2006/relationships/hyperlink" Target="https://doi.org/10.1111/pops.12691" TargetMode="External"/><Relationship Id="rId101" Type="http://schemas.openxmlformats.org/officeDocument/2006/relationships/hyperlink" Target="https://doi.org/10.1080/09557571.2019.1567461" TargetMode="External"/><Relationship Id="rId122" Type="http://schemas.openxmlformats.org/officeDocument/2006/relationships/hyperlink" Target="https://doi.org/10.1080/09557570903104024" TargetMode="External"/><Relationship Id="rId143" Type="http://schemas.openxmlformats.org/officeDocument/2006/relationships/hyperlink" Target="https://doi.org/10.1080/00905999208408220" TargetMode="External"/><Relationship Id="rId164" Type="http://schemas.openxmlformats.org/officeDocument/2006/relationships/hyperlink" Target="https://doi.org/10.1080/21647259.2024.2370687" TargetMode="External"/><Relationship Id="rId185" Type="http://schemas.openxmlformats.org/officeDocument/2006/relationships/hyperlink" Target="https://doi.org/10.2307/2600652" TargetMode="External"/><Relationship Id="rId9" Type="http://schemas.openxmlformats.org/officeDocument/2006/relationships/image" Target="media/image1.png"/><Relationship Id="rId210" Type="http://schemas.openxmlformats.org/officeDocument/2006/relationships/hyperlink" Target="https://doi.org/10.3200/demo.14.2.235-251" TargetMode="External"/><Relationship Id="rId26" Type="http://schemas.openxmlformats.org/officeDocument/2006/relationships/hyperlink" Target="https://armenpress.am/en/article/733827" TargetMode="External"/><Relationship Id="rId231" Type="http://schemas.openxmlformats.org/officeDocument/2006/relationships/hyperlink" Target="https://doi.org/10.1146/annurev-soc-071811-145503" TargetMode="External"/><Relationship Id="rId252" Type="http://schemas.openxmlformats.org/officeDocument/2006/relationships/hyperlink" Target="https://doi.org/10.2307/20032043" TargetMode="External"/><Relationship Id="rId273" Type="http://schemas.openxmlformats.org/officeDocument/2006/relationships/footer" Target="footer2.xml"/><Relationship Id="rId47" Type="http://schemas.openxmlformats.org/officeDocument/2006/relationships/hyperlink" Target="https://armenpress.am/en/article/1032545" TargetMode="External"/><Relationship Id="rId68" Type="http://schemas.openxmlformats.org/officeDocument/2006/relationships/hyperlink" Target="http://www.en.kremlin.ru/events/president/transcripts/30" TargetMode="External"/><Relationship Id="rId89" Type="http://schemas.openxmlformats.org/officeDocument/2006/relationships/hyperlink" Target="https://ipc.sabanciuniv.edu/Content/Images/Document/turkish-foreign-policy-after-july-15-7fc40f/turkish-foreign-policy-after-july-15-7fc40f.pdf?utm_source=chatgpt.com" TargetMode="External"/><Relationship Id="rId112" Type="http://schemas.openxmlformats.org/officeDocument/2006/relationships/hyperlink" Target="https://doi.org/10.1080/09592318.2023.2185443" TargetMode="External"/><Relationship Id="rId133" Type="http://schemas.openxmlformats.org/officeDocument/2006/relationships/hyperlink" Target="https://doi.org/10.1017/S1752971915000202" TargetMode="External"/><Relationship Id="rId154" Type="http://schemas.openxmlformats.org/officeDocument/2006/relationships/hyperlink" Target="https://doi.org/10.1093/isr/vix033" TargetMode="External"/><Relationship Id="rId175" Type="http://schemas.openxmlformats.org/officeDocument/2006/relationships/hyperlink" Target="https://doi.org/10.1093/cjip/pon003" TargetMode="External"/><Relationship Id="rId196" Type="http://schemas.openxmlformats.org/officeDocument/2006/relationships/hyperlink" Target="https://doi.org/10.1017/S0020818305050058" TargetMode="External"/><Relationship Id="rId200" Type="http://schemas.openxmlformats.org/officeDocument/2006/relationships/hyperlink" Target="https://doi.org/10.1080/10357718.2021.1985963" TargetMode="External"/><Relationship Id="rId16" Type="http://schemas.openxmlformats.org/officeDocument/2006/relationships/hyperlink" Target="https://oc-media.org/armenia-sends-troops-to-quell-kazakhstan-protests/" TargetMode="External"/><Relationship Id="rId221" Type="http://schemas.openxmlformats.org/officeDocument/2006/relationships/hyperlink" Target="https://doi.org/10.1177/0010836702037002973" TargetMode="External"/><Relationship Id="rId242" Type="http://schemas.openxmlformats.org/officeDocument/2006/relationships/hyperlink" Target="https://doi.org/10.5465/amj.2006.22083020" TargetMode="External"/><Relationship Id="rId263" Type="http://schemas.openxmlformats.org/officeDocument/2006/relationships/hyperlink" Target="https://doi.org/10.1287/orsc.9.2.123" TargetMode="External"/><Relationship Id="rId37" Type="http://schemas.openxmlformats.org/officeDocument/2006/relationships/hyperlink" Target="https://www.ohchr.org/en/press-releases/2020/11/mercenaries-and-around-nagorno-karabakh-conflict-zone-must-be-withdrawn-un" TargetMode="External"/><Relationship Id="rId58" Type="http://schemas.openxmlformats.org/officeDocument/2006/relationships/hyperlink" Target="https://www.euronews.com/my-europe/2023/10/03/russia-has-betrayed-armenian-people-by-standing-aside-in-nagorno-karabakh-charles-michel" TargetMode="External"/><Relationship Id="rId79" Type="http://schemas.openxmlformats.org/officeDocument/2006/relationships/hyperlink" Target="http://en.kremlin.ru/events/president/news/70674" TargetMode="External"/><Relationship Id="rId102" Type="http://schemas.openxmlformats.org/officeDocument/2006/relationships/hyperlink" Target="https://doi.org/10.1177/0010836716653161" TargetMode="External"/><Relationship Id="rId123" Type="http://schemas.openxmlformats.org/officeDocument/2006/relationships/hyperlink" Target="https://doi.org/10.1080/13688790.2017.1378086" TargetMode="External"/><Relationship Id="rId144" Type="http://schemas.openxmlformats.org/officeDocument/2006/relationships/hyperlink" Target="https://doi.org/10.1177/1354066120927073" TargetMode="External"/><Relationship Id="rId90" Type="http://schemas.openxmlformats.org/officeDocument/2006/relationships/hyperlink" Target="https://doi.org/10.2307/488538" TargetMode="External"/><Relationship Id="rId165" Type="http://schemas.openxmlformats.org/officeDocument/2006/relationships/hyperlink" Target="https://doi.org/10.1057/s41268-018-0161-1" TargetMode="External"/><Relationship Id="rId186" Type="http://schemas.openxmlformats.org/officeDocument/2006/relationships/hyperlink" Target="https://doi.org/10.1017/S0260210511000222" TargetMode="External"/><Relationship Id="rId211" Type="http://schemas.openxmlformats.org/officeDocument/2006/relationships/hyperlink" Target="https://www.journalofdemocracy.org/what-putin-fears-most/" TargetMode="External"/><Relationship Id="rId232" Type="http://schemas.openxmlformats.org/officeDocument/2006/relationships/hyperlink" Target="https://www.rferl.org/a/armenia-russian-border-guards-remove-yerevan-airport/32850687.html" TargetMode="External"/><Relationship Id="rId253" Type="http://schemas.openxmlformats.org/officeDocument/2006/relationships/hyperlink" Target="https://doi.org/10.1093/fpa/orab022" TargetMode="External"/><Relationship Id="rId274" Type="http://schemas.openxmlformats.org/officeDocument/2006/relationships/fontTable" Target="fontTable.xml"/><Relationship Id="rId27" Type="http://schemas.openxmlformats.org/officeDocument/2006/relationships/hyperlink" Target="https://www.crrc.am/wp-content/uploads/2022/06/Barometer-2021_pptx_ENG_Final_14%E2%80%A406%E2%80%A422.pdf" TargetMode="External"/><Relationship Id="rId48" Type="http://schemas.openxmlformats.org/officeDocument/2006/relationships/hyperlink" Target="https://www.president.am/en/press-release/item/2016/05/26/President-Serzh-Sargsyan-meeting-with-president-of-Russian-Railways-Oleg-Belozerov/" TargetMode="External"/><Relationship Id="rId69" Type="http://schemas.openxmlformats.org/officeDocument/2006/relationships/hyperlink" Target="http://en.kremlin.ru/events/president/news/21080" TargetMode="External"/><Relationship Id="rId113" Type="http://schemas.openxmlformats.org/officeDocument/2006/relationships/hyperlink" Target="https://doi.org/10.1111/pops.12385" TargetMode="External"/><Relationship Id="rId134" Type="http://schemas.openxmlformats.org/officeDocument/2006/relationships/hyperlink" Target="https://doi.org/10.54667/ceemr.2024.09" TargetMode="External"/><Relationship Id="rId80" Type="http://schemas.openxmlformats.org/officeDocument/2006/relationships/hyperlink" Target="http://www.patriarchia.ru/db/print/928446.html" TargetMode="External"/><Relationship Id="rId155" Type="http://schemas.openxmlformats.org/officeDocument/2006/relationships/hyperlink" Target="https://doi.org/10.1177/03058298980270031301" TargetMode="External"/><Relationship Id="rId176" Type="http://schemas.openxmlformats.org/officeDocument/2006/relationships/hyperlink" Target="https://eurasianet.org/as-protests-continue-in-yerevan-russia-concedes-to-armenia-on-soldier-murder-case" TargetMode="External"/><Relationship Id="rId197" Type="http://schemas.openxmlformats.org/officeDocument/2006/relationships/hyperlink" Target="https://eurasianet.org/russias-powerful-economic-levers-over-armenia" TargetMode="External"/><Relationship Id="rId201" Type="http://schemas.openxmlformats.org/officeDocument/2006/relationships/hyperlink" Target="https://doi.org/10.51870/cejiss.a150203" TargetMode="External"/><Relationship Id="rId222" Type="http://schemas.openxmlformats.org/officeDocument/2006/relationships/hyperlink" Target="https://doi.org/10.1093/acrefore/9780190236557.013.295" TargetMode="External"/><Relationship Id="rId243" Type="http://schemas.openxmlformats.org/officeDocument/2006/relationships/hyperlink" Target="https://doi.org/10.1086/ahr.114.4.930" TargetMode="External"/><Relationship Id="rId264" Type="http://schemas.openxmlformats.org/officeDocument/2006/relationships/hyperlink" Target="https://doi.org/10.1017/S0043887109000021" TargetMode="External"/><Relationship Id="rId17" Type="http://schemas.openxmlformats.org/officeDocument/2006/relationships/hyperlink" Target="https://tass.com/world/861507?utm_source=chatgpt.com" TargetMode="External"/><Relationship Id="rId38" Type="http://schemas.openxmlformats.org/officeDocument/2006/relationships/hyperlink" Target="https://www.statista.com/statistics/1116011/poll-on-most-popular-messengers-russia/" TargetMode="External"/><Relationship Id="rId59" Type="http://schemas.openxmlformats.org/officeDocument/2006/relationships/hyperlink" Target="https://www.azatutyun.am/a/31428119.html" TargetMode="External"/><Relationship Id="rId103" Type="http://schemas.openxmlformats.org/officeDocument/2006/relationships/hyperlink" Target="https://kentron.am/ru/news/129910" TargetMode="External"/><Relationship Id="rId124" Type="http://schemas.openxmlformats.org/officeDocument/2006/relationships/hyperlink" Target="https://doi.org/10.1080/09557571.2016.1271310" TargetMode="External"/><Relationship Id="rId70" Type="http://schemas.openxmlformats.org/officeDocument/2006/relationships/hyperlink" Target="http://en.kremlin.ru/events/president/news/64384" TargetMode="External"/><Relationship Id="rId91" Type="http://schemas.openxmlformats.org/officeDocument/2006/relationships/hyperlink" Target="https://doi.org/10.1080/09662839.2023.2258528" TargetMode="External"/><Relationship Id="rId145" Type="http://schemas.openxmlformats.org/officeDocument/2006/relationships/hyperlink" Target="https://doi.org/10.1093/isq/sqab071" TargetMode="External"/><Relationship Id="rId166" Type="http://schemas.openxmlformats.org/officeDocument/2006/relationships/hyperlink" Target="https://doi.org/10.1111/j.1467-9221.2004.00396.x" TargetMode="External"/><Relationship Id="rId187" Type="http://schemas.openxmlformats.org/officeDocument/2006/relationships/hyperlink" Target="https://doi.org/10.1080/09668130124714" TargetMode="External"/><Relationship Id="rId1" Type="http://schemas.openxmlformats.org/officeDocument/2006/relationships/customXml" Target="../customXml/item1.xml"/><Relationship Id="rId212" Type="http://schemas.openxmlformats.org/officeDocument/2006/relationships/hyperlink" Target="https://neweasterneurope.eu/2019/07/09/deciphering-armenia-russia-relations-after-the-velvet-revolution/" TargetMode="External"/><Relationship Id="rId233" Type="http://schemas.openxmlformats.org/officeDocument/2006/relationships/hyperlink" Target="https://eurasianet.org/russia-to-revamp-armenias-nuclear-power-plant" TargetMode="External"/><Relationship Id="rId254" Type="http://schemas.openxmlformats.org/officeDocument/2006/relationships/hyperlink" Target="https://doi.org/10.1093/ips/olz018" TargetMode="External"/><Relationship Id="rId28" Type="http://schemas.openxmlformats.org/officeDocument/2006/relationships/hyperlink" Target="https://www.1lurer.am/en/2021/06/21/CEC-summed-up-preliminary-results-of-elections/500475" TargetMode="External"/><Relationship Id="rId49" Type="http://schemas.openxmlformats.org/officeDocument/2006/relationships/hyperlink" Target="http://en.kremlin.ru/events/president/news/50864" TargetMode="External"/><Relationship Id="rId114" Type="http://schemas.openxmlformats.org/officeDocument/2006/relationships/hyperlink" Target="https://doi.org/10.1016/j.postcomstud.2014.09.002" TargetMode="External"/><Relationship Id="rId275" Type="http://schemas.openxmlformats.org/officeDocument/2006/relationships/theme" Target="theme/theme1.xml"/><Relationship Id="rId60" Type="http://schemas.openxmlformats.org/officeDocument/2006/relationships/hyperlink" Target="https://asbarez.com/russian-armenian-leader-plays-key-role-in-release-american-prisoner/" TargetMode="External"/><Relationship Id="rId81" Type="http://schemas.openxmlformats.org/officeDocument/2006/relationships/hyperlink" Target="https://www.cacianalyst.org/publications/analytical-articles/item/13416-russia-and-armenia-establish-joint-ground-forces.html" TargetMode="External"/><Relationship Id="rId135" Type="http://schemas.openxmlformats.org/officeDocument/2006/relationships/hyperlink" Target="https://doi.org/10.1163/157180610X488173" TargetMode="External"/><Relationship Id="rId156" Type="http://schemas.openxmlformats.org/officeDocument/2006/relationships/hyperlink" Target="https://doi:10.1111/1468-5965.00263" TargetMode="External"/><Relationship Id="rId177" Type="http://schemas.openxmlformats.org/officeDocument/2006/relationships/hyperlink" Target="https://eurasianet.org/pashinyan-calls-for-unification-between-armenia-and-karabakh?utm_source=chatgpt.com" TargetMode="External"/><Relationship Id="rId198" Type="http://schemas.openxmlformats.org/officeDocument/2006/relationships/hyperlink" Target="https://doi.org/10.1080/09662839.2018.1497985" TargetMode="External"/><Relationship Id="rId202" Type="http://schemas.openxmlformats.org/officeDocument/2006/relationships/hyperlink" Target="https://evnreport.com/economy/armenias-economic-dependence-on-russia-how-deep-does-it-go/" TargetMode="External"/><Relationship Id="rId223" Type="http://schemas.openxmlformats.org/officeDocument/2006/relationships/hyperlink" Target="https://doi.org/10.1017/S0260210508008279" TargetMode="External"/><Relationship Id="rId244" Type="http://schemas.openxmlformats.org/officeDocument/2006/relationships/hyperlink" Target="https://doi.org/10.2753/RUP1061-1940520303" TargetMode="External"/><Relationship Id="rId18" Type="http://schemas.openxmlformats.org/officeDocument/2006/relationships/hyperlink" Target="https://www.dw.com/en/armenia-to-leave-russian-led-csto-security-bloc/a-69348061?utm_source=chatgpt.com" TargetMode="External"/><Relationship Id="rId39" Type="http://schemas.openxmlformats.org/officeDocument/2006/relationships/hyperlink" Target="https://www.levada.ru/en/2023/12/01/nagorno-karabakh-and-the-attitude-towards-countries-against-the-background-of-the-conflict-september-2023/" TargetMode="External"/><Relationship Id="rId265" Type="http://schemas.openxmlformats.org/officeDocument/2006/relationships/hyperlink" Target="https://doi.org/10.1017/S1752971910000308" TargetMode="External"/><Relationship Id="rId50" Type="http://schemas.openxmlformats.org/officeDocument/2006/relationships/hyperlink" Target="http://archive.government.ru/eng/docs/15972/print/" TargetMode="External"/><Relationship Id="rId104" Type="http://schemas.openxmlformats.org/officeDocument/2006/relationships/hyperlink" Target="https://edition.cnn.com/2023/09/17/world/armenia-russia-kremlin-us-intl" TargetMode="External"/><Relationship Id="rId125" Type="http://schemas.openxmlformats.org/officeDocument/2006/relationships/hyperlink" Target="https://doi.org/10.1080/00396338.2023.2218703" TargetMode="External"/><Relationship Id="rId146" Type="http://schemas.openxmlformats.org/officeDocument/2006/relationships/hyperlink" Target="https://doi.org/10.1093/isq/sqab071" TargetMode="External"/><Relationship Id="rId167" Type="http://schemas.openxmlformats.org/officeDocument/2006/relationships/hyperlink" Target="https://doi.org/10.1525/rep.2000.69.1.01p0064y" TargetMode="External"/><Relationship Id="rId188" Type="http://schemas.openxmlformats.org/officeDocument/2006/relationships/hyperlink" Target="https://doi.org/10.1080/03932720802057125" TargetMode="External"/><Relationship Id="rId71" Type="http://schemas.openxmlformats.org/officeDocument/2006/relationships/hyperlink" Target="https://mid.ru/en/foreign_policy/fundamental_documents/1860586/" TargetMode="External"/><Relationship Id="rId92" Type="http://schemas.openxmlformats.org/officeDocument/2006/relationships/hyperlink" Target="https://oc-media.org/rt-head-margarita-simonyan-and-senior-russian-official-banned-from-armenia/" TargetMode="External"/><Relationship Id="rId213" Type="http://schemas.openxmlformats.org/officeDocument/2006/relationships/hyperlink" Target="https://doi.org/10.1080/19448953.2014.986378" TargetMode="External"/><Relationship Id="rId234" Type="http://schemas.openxmlformats.org/officeDocument/2006/relationships/hyperlink" Target="https://rusneb.ru/catalog/010003_000061_bdb946e731c03b565219018c4bf2f164/" TargetMode="External"/><Relationship Id="rId2" Type="http://schemas.openxmlformats.org/officeDocument/2006/relationships/numbering" Target="numbering.xml"/><Relationship Id="rId29" Type="http://schemas.openxmlformats.org/officeDocument/2006/relationships/hyperlink" Target="https://tass.com/world/819468" TargetMode="External"/><Relationship Id="rId255" Type="http://schemas.openxmlformats.org/officeDocument/2006/relationships/hyperlink" Target="https://doi.org/10.1111/spc3.12719" TargetMode="External"/><Relationship Id="rId40" Type="http://schemas.openxmlformats.org/officeDocument/2006/relationships/hyperlink" Target="https://www.merriam-webster.com/dictionary/ontology" TargetMode="External"/><Relationship Id="rId115" Type="http://schemas.openxmlformats.org/officeDocument/2006/relationships/hyperlink" Target="https://www.rferl.org/a/1079093.html" TargetMode="External"/><Relationship Id="rId136" Type="http://schemas.openxmlformats.org/officeDocument/2006/relationships/hyperlink" Target="https://doi.org/10.1111/pops.12869" TargetMode="External"/><Relationship Id="rId157" Type="http://schemas.openxmlformats.org/officeDocument/2006/relationships/hyperlink" Target="https://doi.org/10.1515/ijsl.1990.82.41" TargetMode="External"/><Relationship Id="rId178" Type="http://schemas.openxmlformats.org/officeDocument/2006/relationships/hyperlink" Target="https://eurasianet.org/vardanyans-ouster-raises-as-many-questions-as-his-arrival" TargetMode="External"/><Relationship Id="rId61" Type="http://schemas.openxmlformats.org/officeDocument/2006/relationships/hyperlink" Target="https://www.themoscowtimes.com/archive/sailors-tell-of-ordeal-in-nigerian-jail" TargetMode="External"/><Relationship Id="rId82" Type="http://schemas.openxmlformats.org/officeDocument/2006/relationships/hyperlink" Target="https://doi.org/10.1080/10357710902895129" TargetMode="External"/><Relationship Id="rId199" Type="http://schemas.openxmlformats.org/officeDocument/2006/relationships/hyperlink" Target="https://doi.org/10.1007/s11212-018-9298-0" TargetMode="External"/><Relationship Id="rId203" Type="http://schemas.openxmlformats.org/officeDocument/2006/relationships/hyperlink" Target="https://warontherocks.com/2024/11/escaping-russias-backyard-armenias-strategic-defense-shift/" TargetMode="External"/><Relationship Id="rId19" Type="http://schemas.openxmlformats.org/officeDocument/2006/relationships/hyperlink" Target="https://www.azatutyun.am/a/32219303.html" TargetMode="External"/><Relationship Id="rId224" Type="http://schemas.openxmlformats.org/officeDocument/2006/relationships/hyperlink" Target="https://doi.org/10.1057/jird.2013.22" TargetMode="External"/><Relationship Id="rId245" Type="http://schemas.openxmlformats.org/officeDocument/2006/relationships/hyperlink" Target="https://doi.org/10.1080/23761199.2019.1666231" TargetMode="External"/><Relationship Id="rId266" Type="http://schemas.openxmlformats.org/officeDocument/2006/relationships/hyperlink" Target="https://doi.org/10.1080/13669877.2023.2194892" TargetMode="External"/><Relationship Id="rId30" Type="http://schemas.openxmlformats.org/officeDocument/2006/relationships/hyperlink" Target="http://en.kremlin.ru/events/president/news/1043" TargetMode="External"/><Relationship Id="rId105" Type="http://schemas.openxmlformats.org/officeDocument/2006/relationships/hyperlink" Target="https://doi.org/10.4000/etudesplatoniciennes.566" TargetMode="External"/><Relationship Id="rId126" Type="http://schemas.openxmlformats.org/officeDocument/2006/relationships/hyperlink" Target="https://doi.org/10.1080/17449057.2023.2199601" TargetMode="External"/><Relationship Id="rId147" Type="http://schemas.openxmlformats.org/officeDocument/2006/relationships/hyperlink" Target="https://doi.org/10.1080/10357823.2013.852156" TargetMode="External"/><Relationship Id="rId168" Type="http://schemas.openxmlformats.org/officeDocument/2006/relationships/hyperlink" Target="https://doi.org/10.1093/oso/9780198848622.003.0008" TargetMode="External"/><Relationship Id="rId51" Type="http://schemas.openxmlformats.org/officeDocument/2006/relationships/hyperlink" Target="https://www.iri.org/resources/public-opinion-survey-residents-of-armenia/" TargetMode="External"/><Relationship Id="rId72" Type="http://schemas.openxmlformats.org/officeDocument/2006/relationships/hyperlink" Target="https://www.crisisgroup.org/content/nagorno-karabakh-conflict-visual-explainer" TargetMode="External"/><Relationship Id="rId93" Type="http://schemas.openxmlformats.org/officeDocument/2006/relationships/hyperlink" Target="https://doi.org/10.1177/0146167212443383" TargetMode="External"/><Relationship Id="rId189" Type="http://schemas.openxmlformats.org/officeDocument/2006/relationships/hyperlink" Target="https://doi.org/10.1177/0967010696027001011" TargetMode="External"/><Relationship Id="rId3" Type="http://schemas.openxmlformats.org/officeDocument/2006/relationships/styles" Target="styles.xml"/><Relationship Id="rId214" Type="http://schemas.openxmlformats.org/officeDocument/2006/relationships/hyperlink" Target="http://en.kremlin.ru/events/president/news/67843" TargetMode="External"/><Relationship Id="rId235" Type="http://schemas.openxmlformats.org/officeDocument/2006/relationships/hyperlink" Target="https://doi.org/10.1016/j.postcomstud.2014.09.005" TargetMode="External"/><Relationship Id="rId256" Type="http://schemas.openxmlformats.org/officeDocument/2006/relationships/hyperlink" Target="https://doi.org/10.1556/204.2017.001" TargetMode="External"/><Relationship Id="rId116" Type="http://schemas.openxmlformats.org/officeDocument/2006/relationships/hyperlink" Target="https://doi.org/10.5465/19416520.2011.571520" TargetMode="External"/><Relationship Id="rId137" Type="http://schemas.openxmlformats.org/officeDocument/2006/relationships/hyperlink" Target="https://doi.org/10.1080/09668136.2022.2071843" TargetMode="External"/><Relationship Id="rId158" Type="http://schemas.openxmlformats.org/officeDocument/2006/relationships/hyperlink" Target="https://doi.org/10.1080/15387216.2024.2410721" TargetMode="External"/><Relationship Id="rId20" Type="http://schemas.openxmlformats.org/officeDocument/2006/relationships/hyperlink" Target="https://www.azatutyun.am/a/1576521.html" TargetMode="External"/><Relationship Id="rId41" Type="http://schemas.openxmlformats.org/officeDocument/2006/relationships/hyperlink" Target="http://en.kremlin.ru/events/president/transcripts/24144" TargetMode="External"/><Relationship Id="rId62" Type="http://schemas.openxmlformats.org/officeDocument/2006/relationships/hyperlink" Target="https://www.pnp.ru/person/semyon-bagdasarov/" TargetMode="External"/><Relationship Id="rId83" Type="http://schemas.openxmlformats.org/officeDocument/2006/relationships/hyperlink" Target="https://doi:10.1080/21599165.2019.1579711" TargetMode="External"/><Relationship Id="rId179" Type="http://schemas.openxmlformats.org/officeDocument/2006/relationships/hyperlink" Target="https://doi.org/10.1353/imp.2014.0064" TargetMode="External"/><Relationship Id="rId190" Type="http://schemas.openxmlformats.org/officeDocument/2006/relationships/hyperlink" Target="https://www.eurasiareview.com/17012024-armenias-energy-security-faces-frosty-relations-with-russia-analysis/" TargetMode="External"/><Relationship Id="rId204" Type="http://schemas.openxmlformats.org/officeDocument/2006/relationships/hyperlink" Target="https://doi.org/10.11643/issn.2217-995X151SPN56" TargetMode="External"/><Relationship Id="rId225" Type="http://schemas.openxmlformats.org/officeDocument/2006/relationships/hyperlink" Target="https://en.russkiymir.ru/" TargetMode="External"/><Relationship Id="rId246" Type="http://schemas.openxmlformats.org/officeDocument/2006/relationships/hyperlink" Target="https://doi.org/10.1007/978-3-030-51529-4_14" TargetMode="External"/><Relationship Id="rId267" Type="http://schemas.openxmlformats.org/officeDocument/2006/relationships/hyperlink" Target="https://easternfrontier.eu/eastern-frontier/7,193611,31003989,borderlines-or-battlelines-armenia-s-divide-over-the-demarcation.html?disableRedirects=true" TargetMode="External"/><Relationship Id="rId106" Type="http://schemas.openxmlformats.org/officeDocument/2006/relationships/hyperlink" Target="https://www.crrc.am/wp-content/uploads/2022/06/Barometer-2021_pptx_ENG_Final_14%E2%80%A406%E2%80%A422.pdf" TargetMode="External"/><Relationship Id="rId127" Type="http://schemas.openxmlformats.org/officeDocument/2006/relationships/hyperlink" Target="https://doi.org/10.13128/Studi_Slavis-2078" TargetMode="External"/><Relationship Id="rId10" Type="http://schemas.openxmlformats.org/officeDocument/2006/relationships/image" Target="media/image2.png"/><Relationship Id="rId31" Type="http://schemas.openxmlformats.org/officeDocument/2006/relationships/hyperlink" Target="https://abakanews.org/news/armenia-and-artsakh/dmitry-peskov-there-are-more-armenians-living-in-russia-than-in-armenia/" TargetMode="External"/><Relationship Id="rId52" Type="http://schemas.openxmlformats.org/officeDocument/2006/relationships/hyperlink" Target="https://tass.ru/politika/1816491" TargetMode="External"/><Relationship Id="rId73" Type="http://schemas.openxmlformats.org/officeDocument/2006/relationships/hyperlink" Target="http://www.en.special.kremlin.ru/events/president/transcripts/24194" TargetMode="External"/><Relationship Id="rId94" Type="http://schemas.openxmlformats.org/officeDocument/2006/relationships/hyperlink" Target="https://www.themoscowtimes.com/2023/10/02/they-abandoned-us-displaced-residents-of-nagorno-karabakh-lament-russian-inaction-a82632" TargetMode="External"/><Relationship Id="rId148" Type="http://schemas.openxmlformats.org/officeDocument/2006/relationships/hyperlink" Target="https://fip.am/en/38896" TargetMode="External"/><Relationship Id="rId169" Type="http://schemas.openxmlformats.org/officeDocument/2006/relationships/hyperlink" Target="https://doi.org/10.31278/1810-6374-2021-19-2-38-62" TargetMode="External"/><Relationship Id="rId4" Type="http://schemas.openxmlformats.org/officeDocument/2006/relationships/settings" Target="settings.xml"/><Relationship Id="rId180" Type="http://schemas.openxmlformats.org/officeDocument/2006/relationships/hyperlink" Target="https://doi.org/10.1080/0955757042000245942" TargetMode="External"/><Relationship Id="rId215" Type="http://schemas.openxmlformats.org/officeDocument/2006/relationships/hyperlink" Target="http://en.kremlin.ru/events/president/news/71496" TargetMode="External"/><Relationship Id="rId236" Type="http://schemas.openxmlformats.org/officeDocument/2006/relationships/hyperlink" Target="https://doi.org/10.1057/s41268-017-0089-x" TargetMode="External"/><Relationship Id="rId257" Type="http://schemas.openxmlformats.org/officeDocument/2006/relationships/hyperlink" Target="https://doi.org/10.1080/21565503.2016.1167094" TargetMode="External"/><Relationship Id="rId42" Type="http://schemas.openxmlformats.org/officeDocument/2006/relationships/hyperlink" Target="https://caucasuswatch.de/en/news/pashinyan-accuses-csto-allies-of-supporting-azerbaijan-in-2020-war.html" TargetMode="External"/><Relationship Id="rId84" Type="http://schemas.openxmlformats.org/officeDocument/2006/relationships/hyperlink" Target="https://doi.org/10.2307/2624009" TargetMode="External"/><Relationship Id="rId138" Type="http://schemas.openxmlformats.org/officeDocument/2006/relationships/hyperlink" Target="https://doi.org/10.1177/0268580906067837" TargetMode="External"/><Relationship Id="rId191" Type="http://schemas.openxmlformats.org/officeDocument/2006/relationships/hyperlink" Target="https://doi.org/10.1080/13569310220137566" TargetMode="External"/><Relationship Id="rId205" Type="http://schemas.openxmlformats.org/officeDocument/2006/relationships/hyperlink" Target="https://doi.org/10.2307/2928520" TargetMode="External"/><Relationship Id="rId247" Type="http://schemas.openxmlformats.org/officeDocument/2006/relationships/hyperlink" Target="https://doi:10.1080/15387216.2017.1360193" TargetMode="External"/><Relationship Id="rId107" Type="http://schemas.openxmlformats.org/officeDocument/2006/relationships/hyperlink" Target="https://caucasuswatch.de/en/news/pashinyan-accuses-csto-allies-of-supporting-azerbaijan-in-2020-war.html" TargetMode="External"/><Relationship Id="rId11" Type="http://schemas.openxmlformats.org/officeDocument/2006/relationships/image" Target="media/image3.png"/><Relationship Id="rId53" Type="http://schemas.openxmlformats.org/officeDocument/2006/relationships/hyperlink" Target="http://en.kremlin.ru/events/president/news/75909" TargetMode="External"/><Relationship Id="rId149" Type="http://schemas.openxmlformats.org/officeDocument/2006/relationships/hyperlink" Target="https://doi.org/10.1111/j.1467-9248.2009.00819.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F2BA2-2420-4D05-ABC5-89ADDC8A7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202</Pages>
  <Words>87855</Words>
  <Characters>535037</Characters>
  <Application>Microsoft Office Word</Application>
  <DocSecurity>0</DocSecurity>
  <Lines>7133</Lines>
  <Paragraphs>1764</Paragraphs>
  <ScaleCrop>false</ScaleCrop>
  <HeadingPairs>
    <vt:vector size="4" baseType="variant">
      <vt:variant>
        <vt:lpstr>Titolo</vt:lpstr>
      </vt:variant>
      <vt:variant>
        <vt:i4>1</vt:i4>
      </vt:variant>
      <vt:variant>
        <vt:lpstr>Intestazioni</vt:lpstr>
      </vt:variant>
      <vt:variant>
        <vt:i4>31</vt:i4>
      </vt:variant>
    </vt:vector>
  </HeadingPairs>
  <TitlesOfParts>
    <vt:vector size="32" baseType="lpstr">
      <vt:lpstr/>
      <vt:lpstr/>
      <vt:lpstr>YOU SHALL NOT FORGET WHO PROTECTED YOU!</vt:lpstr>
      <vt:lpstr>Contents</vt:lpstr>
      <vt:lpstr>Acknowledgments</vt:lpstr>
      <vt:lpstr>List of Figures</vt:lpstr>
      <vt:lpstr/>
      <vt:lpstr/>
      <vt:lpstr/>
      <vt:lpstr/>
      <vt:lpstr>List of Tables</vt:lpstr>
      <vt:lpstr/>
      <vt:lpstr/>
      <vt:lpstr/>
      <vt:lpstr/>
      <vt:lpstr>List of Maps</vt:lpstr>
      <vt:lpstr/>
      <vt:lpstr>Abbreviations</vt:lpstr>
      <vt:lpstr>1. Introduction </vt:lpstr>
      <vt:lpstr>    1.1. Introducing the Research Puzzle</vt:lpstr>
      <vt:lpstr>    1.2. The Approach of the Dissertation</vt:lpstr>
      <vt:lpstr>    1.3. Methodology and Operationalization of the Research Question</vt:lpstr>
      <vt:lpstr>    1.4. Expected contributions</vt:lpstr>
      <vt:lpstr>    1.5. Roadmap of the Dissertation</vt:lpstr>
      <vt:lpstr>2. Theoretical Framework</vt:lpstr>
      <vt:lpstr>    Introduction</vt:lpstr>
      <vt:lpstr>    2.1. Theoretical Concepts</vt:lpstr>
      <vt:lpstr>        2.1.1. Ontological Security in IR.</vt:lpstr>
      <vt:lpstr>        2.1.2. Memory Politics</vt:lpstr>
      <vt:lpstr>        2.1.3. Honor</vt:lpstr>
      <vt:lpstr>    2.2. The Politics of Deference</vt:lpstr>
      <vt:lpstr>    2.3. The Hero-Protector Narrative</vt:lpstr>
    </vt:vector>
  </TitlesOfParts>
  <Company>Alma Mater Studiorum Università di Bologna</Company>
  <LinksUpToDate>false</LinksUpToDate>
  <CharactersWithSpaces>621128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Morena Cuconato</dc:creator>
  <cp:keywords/>
  <dc:description/>
  <cp:lastModifiedBy>Leonardo Zanatta - leonardo.zanatta@studio.unibo.it</cp:lastModifiedBy>
  <cp:revision>2</cp:revision>
  <dcterms:created xsi:type="dcterms:W3CDTF">2025-12-03T04:32:00Z</dcterms:created>
  <dcterms:modified xsi:type="dcterms:W3CDTF">2025-12-04T11:11:00Z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LastSaved">
    <vt:filetime>2025-10-29T00:00:00Z</vt:filetime>
  </property>
  <property fmtid="{D5CDD505-2E9C-101B-9397-08002B2CF9AE}" pid="4" name="Producer">
    <vt:lpwstr>macOS Version 15.3.1 (Build 24D70) Quartz PDFContext</vt:lpwstr>
  </property>
  <property fmtid="{D5CDD505-2E9C-101B-9397-08002B2CF9AE}" pid="5" name="GrammarlyDocumentId">
    <vt:lpwstr>ec13e937-845a-4d29-8f9c-e51a7d8bddbe</vt:lpwstr>
  </property>
</Properties>
</file>