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0B87BFF" wp14:paraId="0566E09A" wp14:textId="282BCC15">
      <w:pPr>
        <w:shd w:val="clear" w:color="auto" w:fill="FFFFFF" w:themeFill="background1"/>
        <w:spacing w:before="0" w:beforeAutospacing="off" w:after="0" w:afterAutospacing="off" w:line="225" w:lineRule="auto"/>
        <w:jc w:val="left"/>
      </w:pPr>
      <w:r w:rsidRPr="00B87BFF" w:rsidR="483CC737">
        <w:rPr>
          <w:rFonts w:ascii="Tahoma" w:hAnsi="Tahoma" w:eastAsia="Tahoma" w:cs="Tahoma"/>
          <w:b w:val="0"/>
          <w:bCs w:val="0"/>
          <w:i w:val="0"/>
          <w:iCs w:val="0"/>
          <w:caps w:val="0"/>
          <w:smallCaps w:val="0"/>
          <w:noProof w:val="0"/>
          <w:color w:val="000000" w:themeColor="text1" w:themeTint="FF" w:themeShade="FF"/>
          <w:sz w:val="24"/>
          <w:szCs w:val="24"/>
          <w:lang w:val="hu-HU"/>
        </w:rPr>
        <w:t xml:space="preserve">Bruinsma Patrik Márk r11v3s </w:t>
      </w:r>
      <w:hyperlink r:id="R4653c486ba754038">
        <w:r w:rsidRPr="00B87BFF" w:rsidR="483CC737">
          <w:rPr>
            <w:rStyle w:val="Hyperlink"/>
            <w:rFonts w:ascii="Tahoma" w:hAnsi="Tahoma" w:eastAsia="Tahoma" w:cs="Tahoma"/>
            <w:b w:val="0"/>
            <w:bCs w:val="0"/>
            <w:i w:val="0"/>
            <w:iCs w:val="0"/>
            <w:caps w:val="0"/>
            <w:smallCaps w:val="0"/>
            <w:noProof w:val="0"/>
            <w:color w:val="0D80CB"/>
            <w:sz w:val="24"/>
            <w:szCs w:val="24"/>
            <w:lang w:val="hu-HU"/>
          </w:rPr>
          <w:t>patrik.bruinsma@stud.uni-corvinus.hu</w:t>
        </w:r>
      </w:hyperlink>
    </w:p>
    <w:p xmlns:wp14="http://schemas.microsoft.com/office/word/2010/wordml" w:rsidP="00B87BFF" wp14:paraId="28C9619C" wp14:textId="62830216">
      <w:pPr>
        <w:shd w:val="clear" w:color="auto" w:fill="FFFFFF" w:themeFill="background1"/>
        <w:spacing w:before="0" w:beforeAutospacing="off" w:after="0" w:afterAutospacing="off" w:line="225" w:lineRule="auto"/>
        <w:jc w:val="left"/>
      </w:pPr>
      <w:r w:rsidRPr="79F535C8" w:rsidR="17A33CAE">
        <w:rPr>
          <w:rFonts w:ascii="Tahoma" w:hAnsi="Tahoma" w:eastAsia="Tahoma" w:cs="Tahoma"/>
          <w:b w:val="1"/>
          <w:bCs w:val="1"/>
          <w:i w:val="0"/>
          <w:iCs w:val="0"/>
          <w:caps w:val="0"/>
          <w:smallCaps w:val="0"/>
          <w:noProof w:val="0"/>
          <w:color w:val="000000" w:themeColor="text1" w:themeTint="FF" w:themeShade="FF"/>
          <w:sz w:val="24"/>
          <w:szCs w:val="24"/>
          <w:lang w:val="hu-HU"/>
        </w:rPr>
        <w:t>Témavezető:</w:t>
      </w:r>
      <w:r w:rsidRPr="79F535C8" w:rsidR="17A33CAE">
        <w:rPr>
          <w:rFonts w:ascii="Tahoma" w:hAnsi="Tahoma" w:eastAsia="Tahoma" w:cs="Tahoma"/>
          <w:b w:val="0"/>
          <w:bCs w:val="0"/>
          <w:i w:val="0"/>
          <w:iCs w:val="0"/>
          <w:caps w:val="0"/>
          <w:smallCaps w:val="0"/>
          <w:noProof w:val="0"/>
          <w:color w:val="000000" w:themeColor="text1" w:themeTint="FF" w:themeShade="FF"/>
          <w:sz w:val="24"/>
          <w:szCs w:val="24"/>
          <w:lang w:val="hu-HU"/>
        </w:rPr>
        <w:t xml:space="preserve"> Madari Zoltán Statisztika Tanszék </w:t>
      </w:r>
      <w:hyperlink r:id="R19c9bf6fc33c48a9">
        <w:r w:rsidRPr="79F535C8" w:rsidR="17A33CAE">
          <w:rPr>
            <w:rStyle w:val="Hyperlink"/>
            <w:rFonts w:ascii="Tahoma" w:hAnsi="Tahoma" w:eastAsia="Tahoma" w:cs="Tahoma"/>
            <w:b w:val="0"/>
            <w:bCs w:val="0"/>
            <w:i w:val="0"/>
            <w:iCs w:val="0"/>
            <w:caps w:val="0"/>
            <w:smallCaps w:val="0"/>
            <w:noProof w:val="0"/>
            <w:sz w:val="24"/>
            <w:szCs w:val="24"/>
            <w:lang w:val="hu-HU"/>
          </w:rPr>
          <w:t>zoltan.madari@uni-corvinus.hu</w:t>
        </w:r>
      </w:hyperlink>
    </w:p>
    <w:p w:rsidR="79F535C8" w:rsidP="79F535C8" w:rsidRDefault="79F535C8" w14:paraId="2080C67B" w14:textId="4A7E51A8">
      <w:pPr>
        <w:shd w:val="clear" w:color="auto" w:fill="FFFFFF" w:themeFill="background1"/>
        <w:spacing w:before="0" w:beforeAutospacing="off" w:after="0" w:afterAutospacing="off" w:line="225" w:lineRule="auto"/>
        <w:jc w:val="left"/>
        <w:rPr>
          <w:rFonts w:ascii="Tahoma" w:hAnsi="Tahoma" w:eastAsia="Tahoma" w:cs="Tahoma"/>
          <w:b w:val="1"/>
          <w:bCs w:val="1"/>
          <w:i w:val="0"/>
          <w:iCs w:val="0"/>
          <w:caps w:val="0"/>
          <w:smallCaps w:val="0"/>
          <w:noProof w:val="0"/>
          <w:color w:val="000000" w:themeColor="text1" w:themeTint="FF" w:themeShade="FF"/>
          <w:sz w:val="24"/>
          <w:szCs w:val="24"/>
          <w:lang w:val="hu-HU"/>
        </w:rPr>
      </w:pPr>
    </w:p>
    <w:p w:rsidR="51D96B67" w:rsidP="79F535C8" w:rsidRDefault="51D96B67" w14:paraId="0AEC5822" w14:textId="6D963860">
      <w:pPr>
        <w:pStyle w:val="Normal"/>
        <w:shd w:val="clear" w:color="auto" w:fill="FFFFFF" w:themeFill="background1"/>
        <w:spacing w:before="0" w:beforeAutospacing="off" w:after="0" w:afterAutospacing="off" w:line="225" w:lineRule="auto"/>
        <w:jc w:val="left"/>
        <w:rPr>
          <w:rFonts w:ascii="Tahoma" w:hAnsi="Tahoma" w:eastAsia="Tahoma" w:cs="Tahoma"/>
          <w:b w:val="1"/>
          <w:bCs w:val="1"/>
          <w:noProof w:val="0"/>
          <w:sz w:val="24"/>
          <w:szCs w:val="24"/>
          <w:lang w:val="hu-HU"/>
        </w:rPr>
      </w:pPr>
      <w:r w:rsidRPr="79F535C8" w:rsidR="51D96B67">
        <w:rPr>
          <w:rFonts w:ascii="Tahoma" w:hAnsi="Tahoma" w:eastAsia="Tahoma" w:cs="Tahoma"/>
          <w:b w:val="1"/>
          <w:bCs w:val="1"/>
          <w:i w:val="0"/>
          <w:iCs w:val="0"/>
          <w:caps w:val="0"/>
          <w:smallCaps w:val="0"/>
          <w:noProof w:val="0"/>
          <w:color w:val="000000" w:themeColor="text1" w:themeTint="FF" w:themeShade="FF"/>
          <w:sz w:val="24"/>
          <w:szCs w:val="24"/>
          <w:lang w:val="hu-HU"/>
        </w:rPr>
        <w:t>Relative</w:t>
      </w:r>
      <w:r w:rsidRPr="79F535C8" w:rsidR="51D96B67">
        <w:rPr>
          <w:rFonts w:ascii="Tahoma" w:hAnsi="Tahoma" w:eastAsia="Tahoma" w:cs="Tahoma"/>
          <w:b w:val="1"/>
          <w:bCs w:val="1"/>
          <w:i w:val="0"/>
          <w:iCs w:val="0"/>
          <w:caps w:val="0"/>
          <w:smallCaps w:val="0"/>
          <w:noProof w:val="0"/>
          <w:color w:val="000000" w:themeColor="text1" w:themeTint="FF" w:themeShade="FF"/>
          <w:sz w:val="24"/>
          <w:szCs w:val="24"/>
          <w:lang w:val="hu-HU"/>
        </w:rPr>
        <w:t xml:space="preserve"> </w:t>
      </w:r>
      <w:r w:rsidRPr="79F535C8" w:rsidR="51D96B67">
        <w:rPr>
          <w:rFonts w:ascii="Tahoma" w:hAnsi="Tahoma" w:eastAsia="Tahoma" w:cs="Tahoma"/>
          <w:b w:val="1"/>
          <w:bCs w:val="1"/>
          <w:i w:val="0"/>
          <w:iCs w:val="0"/>
          <w:caps w:val="0"/>
          <w:smallCaps w:val="0"/>
          <w:noProof w:val="0"/>
          <w:color w:val="000000" w:themeColor="text1" w:themeTint="FF" w:themeShade="FF"/>
          <w:sz w:val="24"/>
          <w:szCs w:val="24"/>
          <w:lang w:val="hu-HU"/>
        </w:rPr>
        <w:t>Welfare</w:t>
      </w:r>
      <w:r w:rsidRPr="79F535C8" w:rsidR="51D96B67">
        <w:rPr>
          <w:rFonts w:ascii="Tahoma" w:hAnsi="Tahoma" w:eastAsia="Tahoma" w:cs="Tahoma"/>
          <w:b w:val="1"/>
          <w:bCs w:val="1"/>
          <w:i w:val="0"/>
          <w:iCs w:val="0"/>
          <w:caps w:val="0"/>
          <w:smallCaps w:val="0"/>
          <w:noProof w:val="0"/>
          <w:color w:val="000000" w:themeColor="text1" w:themeTint="FF" w:themeShade="FF"/>
          <w:sz w:val="24"/>
          <w:szCs w:val="24"/>
          <w:lang w:val="hu-HU"/>
        </w:rPr>
        <w:t xml:space="preserve"> of </w:t>
      </w:r>
      <w:r w:rsidRPr="79F535C8" w:rsidR="51D96B67">
        <w:rPr>
          <w:rFonts w:ascii="Tahoma" w:hAnsi="Tahoma" w:eastAsia="Tahoma" w:cs="Tahoma"/>
          <w:b w:val="1"/>
          <w:bCs w:val="1"/>
          <w:i w:val="0"/>
          <w:iCs w:val="0"/>
          <w:caps w:val="0"/>
          <w:smallCaps w:val="0"/>
          <w:noProof w:val="0"/>
          <w:color w:val="000000" w:themeColor="text1" w:themeTint="FF" w:themeShade="FF"/>
          <w:sz w:val="24"/>
          <w:szCs w:val="24"/>
          <w:lang w:val="hu-HU"/>
        </w:rPr>
        <w:t>Childless</w:t>
      </w:r>
      <w:r w:rsidRPr="79F535C8" w:rsidR="51D96B67">
        <w:rPr>
          <w:rFonts w:ascii="Tahoma" w:hAnsi="Tahoma" w:eastAsia="Tahoma" w:cs="Tahoma"/>
          <w:b w:val="1"/>
          <w:bCs w:val="1"/>
          <w:i w:val="0"/>
          <w:iCs w:val="0"/>
          <w:caps w:val="0"/>
          <w:smallCaps w:val="0"/>
          <w:noProof w:val="0"/>
          <w:color w:val="000000" w:themeColor="text1" w:themeTint="FF" w:themeShade="FF"/>
          <w:sz w:val="24"/>
          <w:szCs w:val="24"/>
          <w:lang w:val="hu-HU"/>
        </w:rPr>
        <w:t xml:space="preserve"> </w:t>
      </w:r>
      <w:r w:rsidRPr="79F535C8" w:rsidR="51D96B67">
        <w:rPr>
          <w:rFonts w:ascii="Tahoma" w:hAnsi="Tahoma" w:eastAsia="Tahoma" w:cs="Tahoma"/>
          <w:b w:val="1"/>
          <w:bCs w:val="1"/>
          <w:i w:val="0"/>
          <w:iCs w:val="0"/>
          <w:caps w:val="0"/>
          <w:smallCaps w:val="0"/>
          <w:noProof w:val="0"/>
          <w:color w:val="000000" w:themeColor="text1" w:themeTint="FF" w:themeShade="FF"/>
          <w:sz w:val="24"/>
          <w:szCs w:val="24"/>
          <w:lang w:val="hu-HU"/>
        </w:rPr>
        <w:t>Dual-Earner</w:t>
      </w:r>
      <w:r w:rsidRPr="79F535C8" w:rsidR="51D96B67">
        <w:rPr>
          <w:rFonts w:ascii="Tahoma" w:hAnsi="Tahoma" w:eastAsia="Tahoma" w:cs="Tahoma"/>
          <w:b w:val="1"/>
          <w:bCs w:val="1"/>
          <w:i w:val="0"/>
          <w:iCs w:val="0"/>
          <w:caps w:val="0"/>
          <w:smallCaps w:val="0"/>
          <w:noProof w:val="0"/>
          <w:color w:val="000000" w:themeColor="text1" w:themeTint="FF" w:themeShade="FF"/>
          <w:sz w:val="24"/>
          <w:szCs w:val="24"/>
          <w:lang w:val="hu-HU"/>
        </w:rPr>
        <w:t xml:space="preserve"> </w:t>
      </w:r>
      <w:r w:rsidRPr="79F535C8" w:rsidR="51D96B67">
        <w:rPr>
          <w:rFonts w:ascii="Tahoma" w:hAnsi="Tahoma" w:eastAsia="Tahoma" w:cs="Tahoma"/>
          <w:b w:val="1"/>
          <w:bCs w:val="1"/>
          <w:i w:val="0"/>
          <w:iCs w:val="0"/>
          <w:caps w:val="0"/>
          <w:smallCaps w:val="0"/>
          <w:noProof w:val="0"/>
          <w:color w:val="000000" w:themeColor="text1" w:themeTint="FF" w:themeShade="FF"/>
          <w:sz w:val="24"/>
          <w:szCs w:val="24"/>
          <w:lang w:val="hu-HU"/>
        </w:rPr>
        <w:t>Households</w:t>
      </w:r>
      <w:r w:rsidRPr="79F535C8" w:rsidR="51D96B67">
        <w:rPr>
          <w:rFonts w:ascii="Tahoma" w:hAnsi="Tahoma" w:eastAsia="Tahoma" w:cs="Tahoma"/>
          <w:b w:val="1"/>
          <w:bCs w:val="1"/>
          <w:i w:val="0"/>
          <w:iCs w:val="0"/>
          <w:caps w:val="0"/>
          <w:smallCaps w:val="0"/>
          <w:noProof w:val="0"/>
          <w:color w:val="000000" w:themeColor="text1" w:themeTint="FF" w:themeShade="FF"/>
          <w:sz w:val="24"/>
          <w:szCs w:val="24"/>
          <w:lang w:val="hu-HU"/>
        </w:rPr>
        <w:t xml:space="preserve"> </w:t>
      </w:r>
      <w:r w:rsidRPr="79F535C8" w:rsidR="51D96B67">
        <w:rPr>
          <w:rFonts w:ascii="Tahoma" w:hAnsi="Tahoma" w:eastAsia="Tahoma" w:cs="Tahoma"/>
          <w:b w:val="1"/>
          <w:bCs w:val="1"/>
          <w:i w:val="0"/>
          <w:iCs w:val="0"/>
          <w:caps w:val="0"/>
          <w:smallCaps w:val="0"/>
          <w:noProof w:val="0"/>
          <w:color w:val="000000" w:themeColor="text1" w:themeTint="FF" w:themeShade="FF"/>
          <w:sz w:val="24"/>
          <w:szCs w:val="24"/>
          <w:lang w:val="hu-HU"/>
        </w:rPr>
        <w:t>under</w:t>
      </w:r>
      <w:r w:rsidRPr="79F535C8" w:rsidR="51D96B67">
        <w:rPr>
          <w:rFonts w:ascii="Tahoma" w:hAnsi="Tahoma" w:eastAsia="Tahoma" w:cs="Tahoma"/>
          <w:b w:val="1"/>
          <w:bCs w:val="1"/>
          <w:i w:val="0"/>
          <w:iCs w:val="0"/>
          <w:caps w:val="0"/>
          <w:smallCaps w:val="0"/>
          <w:noProof w:val="0"/>
          <w:color w:val="000000" w:themeColor="text1" w:themeTint="FF" w:themeShade="FF"/>
          <w:sz w:val="24"/>
          <w:szCs w:val="24"/>
          <w:lang w:val="hu-HU"/>
        </w:rPr>
        <w:t xml:space="preserve"> </w:t>
      </w:r>
      <w:r w:rsidRPr="79F535C8" w:rsidR="51D96B67">
        <w:rPr>
          <w:rFonts w:ascii="Tahoma" w:hAnsi="Tahoma" w:eastAsia="Tahoma" w:cs="Tahoma"/>
          <w:b w:val="1"/>
          <w:bCs w:val="1"/>
          <w:i w:val="0"/>
          <w:iCs w:val="0"/>
          <w:caps w:val="0"/>
          <w:smallCaps w:val="0"/>
          <w:noProof w:val="0"/>
          <w:color w:val="000000" w:themeColor="text1" w:themeTint="FF" w:themeShade="FF"/>
          <w:sz w:val="24"/>
          <w:szCs w:val="24"/>
          <w:lang w:val="hu-HU"/>
        </w:rPr>
        <w:t>Hungary’s</w:t>
      </w:r>
      <w:r w:rsidRPr="79F535C8" w:rsidR="51D96B67">
        <w:rPr>
          <w:rFonts w:ascii="Tahoma" w:hAnsi="Tahoma" w:eastAsia="Tahoma" w:cs="Tahoma"/>
          <w:b w:val="1"/>
          <w:bCs w:val="1"/>
          <w:i w:val="0"/>
          <w:iCs w:val="0"/>
          <w:caps w:val="0"/>
          <w:smallCaps w:val="0"/>
          <w:noProof w:val="0"/>
          <w:color w:val="000000" w:themeColor="text1" w:themeTint="FF" w:themeShade="FF"/>
          <w:sz w:val="24"/>
          <w:szCs w:val="24"/>
          <w:lang w:val="hu-HU"/>
        </w:rPr>
        <w:t xml:space="preserve"> Pro-</w:t>
      </w:r>
      <w:r w:rsidRPr="79F535C8" w:rsidR="51D96B67">
        <w:rPr>
          <w:rFonts w:ascii="Tahoma" w:hAnsi="Tahoma" w:eastAsia="Tahoma" w:cs="Tahoma"/>
          <w:b w:val="1"/>
          <w:bCs w:val="1"/>
          <w:i w:val="0"/>
          <w:iCs w:val="0"/>
          <w:caps w:val="0"/>
          <w:smallCaps w:val="0"/>
          <w:noProof w:val="0"/>
          <w:color w:val="000000" w:themeColor="text1" w:themeTint="FF" w:themeShade="FF"/>
          <w:sz w:val="24"/>
          <w:szCs w:val="24"/>
          <w:lang w:val="hu-HU"/>
        </w:rPr>
        <w:t>Natalist</w:t>
      </w:r>
      <w:r w:rsidRPr="79F535C8" w:rsidR="51D96B67">
        <w:rPr>
          <w:rFonts w:ascii="Tahoma" w:hAnsi="Tahoma" w:eastAsia="Tahoma" w:cs="Tahoma"/>
          <w:b w:val="1"/>
          <w:bCs w:val="1"/>
          <w:i w:val="0"/>
          <w:iCs w:val="0"/>
          <w:caps w:val="0"/>
          <w:smallCaps w:val="0"/>
          <w:noProof w:val="0"/>
          <w:color w:val="000000" w:themeColor="text1" w:themeTint="FF" w:themeShade="FF"/>
          <w:sz w:val="24"/>
          <w:szCs w:val="24"/>
          <w:lang w:val="hu-HU"/>
        </w:rPr>
        <w:t xml:space="preserve"> Reforms</w:t>
      </w:r>
    </w:p>
    <w:p w:rsidR="79F535C8" w:rsidP="79F535C8" w:rsidRDefault="79F535C8" w14:paraId="6E7BDF46" w14:textId="16D5CB0B">
      <w:pPr>
        <w:pStyle w:val="Normal"/>
        <w:shd w:val="clear" w:color="auto" w:fill="FFFFFF" w:themeFill="background1"/>
        <w:spacing w:before="0" w:beforeAutospacing="off" w:after="0" w:afterAutospacing="off" w:line="225" w:lineRule="auto"/>
        <w:jc w:val="left"/>
        <w:rPr>
          <w:rFonts w:ascii="Tahoma" w:hAnsi="Tahoma" w:eastAsia="Tahoma" w:cs="Tahoma"/>
          <w:b w:val="1"/>
          <w:bCs w:val="1"/>
          <w:i w:val="0"/>
          <w:iCs w:val="0"/>
          <w:caps w:val="0"/>
          <w:smallCaps w:val="0"/>
          <w:noProof w:val="0"/>
          <w:color w:val="000000" w:themeColor="text1" w:themeTint="FF" w:themeShade="FF"/>
          <w:sz w:val="24"/>
          <w:szCs w:val="24"/>
          <w:lang w:val="hu-HU"/>
        </w:rPr>
      </w:pPr>
    </w:p>
    <w:p xmlns:wp14="http://schemas.microsoft.com/office/word/2010/wordml" w:rsidP="00B87BFF" wp14:paraId="7605389C" wp14:textId="1DD21976">
      <w:pPr>
        <w:shd w:val="clear" w:color="auto" w:fill="FFFFFF" w:themeFill="background1"/>
        <w:spacing w:before="0" w:beforeAutospacing="off" w:after="0" w:afterAutospacing="off" w:line="225" w:lineRule="auto"/>
        <w:jc w:val="left"/>
      </w:pPr>
      <w:r w:rsidRPr="00B87BFF" w:rsidR="483CC737">
        <w:rPr>
          <w:rFonts w:ascii="Tahoma" w:hAnsi="Tahoma" w:eastAsia="Tahoma" w:cs="Tahoma"/>
          <w:b w:val="1"/>
          <w:bCs w:val="1"/>
          <w:i w:val="0"/>
          <w:iCs w:val="0"/>
          <w:caps w:val="0"/>
          <w:smallCaps w:val="0"/>
          <w:noProof w:val="0"/>
          <w:color w:val="000000" w:themeColor="text1" w:themeTint="FF" w:themeShade="FF"/>
          <w:sz w:val="24"/>
          <w:szCs w:val="24"/>
          <w:lang w:val="hu-HU"/>
        </w:rPr>
        <w:t xml:space="preserve">Absztrakt (a dolgozat leadásakor még kiegészíthető az eredményekkel): </w:t>
      </w:r>
      <w:r w:rsidRPr="00B87BFF" w:rsidR="483CC737">
        <w:rPr>
          <w:rFonts w:ascii="Tahoma" w:hAnsi="Tahoma" w:eastAsia="Tahoma" w:cs="Tahoma"/>
          <w:b w:val="0"/>
          <w:bCs w:val="0"/>
          <w:i w:val="0"/>
          <w:iCs w:val="0"/>
          <w:caps w:val="0"/>
          <w:smallCaps w:val="0"/>
          <w:noProof w:val="0"/>
          <w:color w:val="000000" w:themeColor="text1" w:themeTint="FF" w:themeShade="FF"/>
          <w:sz w:val="24"/>
          <w:szCs w:val="24"/>
          <w:lang w:val="hu-HU"/>
        </w:rPr>
        <w:t>Hungary’s pro-natalist reform package redirected substantial fiscal resources toward households with children while structurally excluding childless dual-earner couples (DINKs). The family tax allowance, GYED Extra, and CSOK together constitute a child-contingent transfer architecture with no analogue for childless households. Using Hungarian EU-SILC microdata for survey waves 2013–2018, this paper estimates difference-in-differences models comparing equivalised disposable income, financial strain, and housing cost overburden between DINK and non-DINK two-adult households aged 25–50. The conditional DINK income premium narrowed by approximately 0.11–0.18 log points across the income distribution in the post-reform period. This result is robust to large departures from parallel trends under the HonestDiD framework of Rambachan and Roth (2023). Housing cost overburden converged directionally but is sensitive to moderate confounding. The financial strain result does not survive sensitivity analysis. The patterns are consistent with the reform package improving the relative welfare of policy-eligible families, though macroeconomic confounding cannot be excluded. The evidence is associational.</w:t>
      </w:r>
    </w:p>
    <w:p xmlns:wp14="http://schemas.microsoft.com/office/word/2010/wordml" wp14:paraId="29B63463" wp14:textId="045AC4DC"/>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082F35"/>
    <w:rsid w:val="00B87BFF"/>
    <w:rsid w:val="17A33CAE"/>
    <w:rsid w:val="47082F35"/>
    <w:rsid w:val="483CC737"/>
    <w:rsid w:val="51D96B67"/>
    <w:rsid w:val="79F535C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9D22E"/>
  <w15:chartTrackingRefBased/>
  <w15:docId w15:val="{FC138E52-6F8B-4B05-B06B-C34B94585D2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hu-HU"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00B87BF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patrik.bruinsma@stud.uni-corvinus.hu" TargetMode="External" Id="R4653c486ba754038" /><Relationship Type="http://schemas.openxmlformats.org/officeDocument/2006/relationships/hyperlink" Target="mailto:zoltan.madari@uni-corvinus.hu" TargetMode="External" Id="R19c9bf6fc33c48a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2026-04-16T09:20:47.8415059Z</dcterms:created>
  <dcterms:modified xsi:type="dcterms:W3CDTF">2026-04-16T09:41:06.4061051Z</dcterms:modified>
  <dc:creator>Frigyik Márta</dc:creator>
  <lastModifiedBy>Frigyik Márta</lastModifiedBy>
</coreProperties>
</file>